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36529" w14:textId="35593935" w:rsidR="00D554AF" w:rsidRDefault="00D554AF" w:rsidP="00D554AF">
      <w:pPr>
        <w:rPr>
          <w:rFonts w:ascii="Arial" w:hAnsi="Arial" w:cs="Arial"/>
          <w:b/>
          <w:sz w:val="20"/>
          <w:szCs w:val="20"/>
        </w:rPr>
      </w:pPr>
      <w:bookmarkStart w:id="0" w:name="_GoBack"/>
      <w:bookmarkEnd w:id="0"/>
      <w:r w:rsidRPr="00780992">
        <w:rPr>
          <w:rFonts w:ascii="Arial" w:hAnsi="Arial" w:cs="Arial"/>
          <w:b/>
          <w:sz w:val="20"/>
          <w:szCs w:val="20"/>
        </w:rPr>
        <w:t xml:space="preserve">FinDatEx – TPT/SII TWG </w:t>
      </w:r>
      <w:r w:rsidR="00A462FC">
        <w:rPr>
          <w:rFonts w:ascii="Arial" w:hAnsi="Arial" w:cs="Arial"/>
          <w:b/>
          <w:sz w:val="20"/>
          <w:szCs w:val="20"/>
        </w:rPr>
        <w:t>Additional guidelines</w:t>
      </w:r>
    </w:p>
    <w:p w14:paraId="75E474BC" w14:textId="585F360C" w:rsidR="00D554AF" w:rsidRDefault="00D554AF" w:rsidP="00D554AF">
      <w:pPr>
        <w:rPr>
          <w:rFonts w:ascii="Arial" w:hAnsi="Arial" w:cs="Arial"/>
          <w:b/>
          <w:sz w:val="20"/>
          <w:szCs w:val="20"/>
        </w:rPr>
      </w:pPr>
    </w:p>
    <w:p w14:paraId="57A95DF9" w14:textId="77777777" w:rsidR="00D554AF" w:rsidRDefault="00D554AF" w:rsidP="00D554AF">
      <w:pPr>
        <w:rPr>
          <w:rFonts w:ascii="Arial" w:hAnsi="Arial" w:cs="Arial"/>
          <w:b/>
          <w:color w:val="FF0000"/>
          <w:sz w:val="20"/>
          <w:szCs w:val="20"/>
        </w:rPr>
      </w:pPr>
    </w:p>
    <w:p w14:paraId="530645F6" w14:textId="315C77E7" w:rsidR="00D554AF" w:rsidRPr="00A671B8" w:rsidRDefault="00A671B8" w:rsidP="00D554AF">
      <w:pPr>
        <w:pStyle w:val="Heading1"/>
        <w:spacing w:before="720" w:after="720"/>
        <w:jc w:val="center"/>
        <w:rPr>
          <w:sz w:val="40"/>
          <w:szCs w:val="40"/>
        </w:rPr>
      </w:pPr>
      <w:r w:rsidRPr="00A671B8">
        <w:rPr>
          <w:sz w:val="40"/>
          <w:szCs w:val="40"/>
        </w:rPr>
        <w:t xml:space="preserve">Additional </w:t>
      </w:r>
      <w:r w:rsidR="00A462FC">
        <w:rPr>
          <w:sz w:val="40"/>
          <w:szCs w:val="40"/>
        </w:rPr>
        <w:t>guidelines</w:t>
      </w:r>
      <w:r w:rsidRPr="00A671B8">
        <w:rPr>
          <w:sz w:val="40"/>
          <w:szCs w:val="40"/>
        </w:rPr>
        <w:t xml:space="preserve"> TPT</w:t>
      </w:r>
      <w:r>
        <w:rPr>
          <w:sz w:val="40"/>
          <w:szCs w:val="40"/>
        </w:rPr>
        <w:t xml:space="preserve"> V</w:t>
      </w:r>
      <w:r w:rsidR="00C23F0A">
        <w:rPr>
          <w:sz w:val="40"/>
          <w:szCs w:val="40"/>
        </w:rPr>
        <w:t>6</w:t>
      </w:r>
    </w:p>
    <w:p w14:paraId="2419B57B" w14:textId="77777777" w:rsidR="00D554AF" w:rsidRPr="00A671B8" w:rsidRDefault="00D554AF" w:rsidP="00D554AF">
      <w:pPr>
        <w:rPr>
          <w:rFonts w:ascii="Arial" w:hAnsi="Arial" w:cs="Arial"/>
          <w:b/>
          <w:color w:val="FF0000"/>
          <w:sz w:val="20"/>
          <w:szCs w:val="20"/>
        </w:rPr>
      </w:pPr>
    </w:p>
    <w:p w14:paraId="4E80C129" w14:textId="3938D06A" w:rsidR="006921AC" w:rsidRPr="006921AC" w:rsidRDefault="00A671B8" w:rsidP="00D554AF">
      <w:pPr>
        <w:rPr>
          <w:rFonts w:ascii="Arial" w:eastAsia="Times New Roman" w:hAnsi="Arial" w:cs="Arial"/>
          <w:iCs/>
          <w:color w:val="000000"/>
          <w:sz w:val="20"/>
          <w:szCs w:val="20"/>
          <w:lang w:eastAsia="en-GB"/>
        </w:rPr>
      </w:pPr>
      <w:r>
        <w:rPr>
          <w:rFonts w:ascii="Arial" w:eastAsia="Times New Roman" w:hAnsi="Arial" w:cs="Arial"/>
          <w:iCs/>
          <w:color w:val="000000"/>
          <w:sz w:val="20"/>
          <w:szCs w:val="20"/>
          <w:lang w:eastAsia="en-GB"/>
        </w:rPr>
        <w:t xml:space="preserve">This document provides additional </w:t>
      </w:r>
      <w:r w:rsidR="00A462FC">
        <w:rPr>
          <w:rFonts w:ascii="Arial" w:eastAsia="Times New Roman" w:hAnsi="Arial" w:cs="Arial"/>
          <w:iCs/>
          <w:color w:val="000000"/>
          <w:sz w:val="20"/>
          <w:szCs w:val="20"/>
          <w:lang w:eastAsia="en-GB"/>
        </w:rPr>
        <w:t>guidelines</w:t>
      </w:r>
      <w:r>
        <w:rPr>
          <w:rFonts w:ascii="Arial" w:eastAsia="Times New Roman" w:hAnsi="Arial" w:cs="Arial"/>
          <w:iCs/>
          <w:color w:val="000000"/>
          <w:sz w:val="20"/>
          <w:szCs w:val="20"/>
          <w:lang w:eastAsia="en-GB"/>
        </w:rPr>
        <w:t xml:space="preserve"> related to the modelling of FX </w:t>
      </w:r>
      <w:r w:rsidR="000620E6">
        <w:rPr>
          <w:rFonts w:ascii="Arial" w:eastAsia="Times New Roman" w:hAnsi="Arial" w:cs="Arial"/>
          <w:iCs/>
          <w:color w:val="000000"/>
          <w:sz w:val="20"/>
          <w:szCs w:val="20"/>
          <w:lang w:eastAsia="en-GB"/>
        </w:rPr>
        <w:t>forward</w:t>
      </w:r>
      <w:r w:rsidR="004F519D">
        <w:rPr>
          <w:rFonts w:ascii="Arial" w:eastAsia="Times New Roman" w:hAnsi="Arial" w:cs="Arial"/>
          <w:iCs/>
          <w:color w:val="000000"/>
          <w:sz w:val="20"/>
          <w:szCs w:val="20"/>
          <w:lang w:eastAsia="en-GB"/>
        </w:rPr>
        <w:t>, FX options</w:t>
      </w:r>
      <w:r w:rsidR="00975F5C">
        <w:rPr>
          <w:rFonts w:ascii="Arial" w:eastAsia="Times New Roman" w:hAnsi="Arial" w:cs="Arial"/>
          <w:iCs/>
          <w:color w:val="000000"/>
          <w:sz w:val="20"/>
          <w:szCs w:val="20"/>
          <w:lang w:eastAsia="en-GB"/>
        </w:rPr>
        <w:t>, FX Futures</w:t>
      </w:r>
      <w:r w:rsidR="00532506">
        <w:rPr>
          <w:rFonts w:ascii="Arial" w:eastAsia="Times New Roman" w:hAnsi="Arial" w:cs="Arial"/>
          <w:iCs/>
          <w:color w:val="000000"/>
          <w:sz w:val="20"/>
          <w:szCs w:val="20"/>
          <w:lang w:eastAsia="en-GB"/>
        </w:rPr>
        <w:t>,</w:t>
      </w:r>
      <w:r w:rsidR="004F519D">
        <w:rPr>
          <w:rFonts w:ascii="Arial" w:eastAsia="Times New Roman" w:hAnsi="Arial" w:cs="Arial"/>
          <w:iCs/>
          <w:color w:val="000000"/>
          <w:sz w:val="20"/>
          <w:szCs w:val="20"/>
          <w:lang w:eastAsia="en-GB"/>
        </w:rPr>
        <w:t xml:space="preserve"> Swap</w:t>
      </w:r>
      <w:r w:rsidR="00A462FC">
        <w:rPr>
          <w:rFonts w:ascii="Arial" w:eastAsia="Times New Roman" w:hAnsi="Arial" w:cs="Arial"/>
          <w:iCs/>
          <w:color w:val="000000"/>
          <w:sz w:val="20"/>
          <w:szCs w:val="20"/>
          <w:lang w:eastAsia="en-GB"/>
        </w:rPr>
        <w:t>, C</w:t>
      </w:r>
      <w:r w:rsidR="00532506">
        <w:rPr>
          <w:rFonts w:ascii="Arial" w:eastAsia="Times New Roman" w:hAnsi="Arial" w:cs="Arial"/>
          <w:iCs/>
          <w:color w:val="000000"/>
          <w:sz w:val="20"/>
          <w:szCs w:val="20"/>
          <w:lang w:eastAsia="en-GB"/>
        </w:rPr>
        <w:t xml:space="preserve">redit </w:t>
      </w:r>
      <w:r w:rsidR="00A462FC">
        <w:rPr>
          <w:rFonts w:ascii="Arial" w:eastAsia="Times New Roman" w:hAnsi="Arial" w:cs="Arial"/>
          <w:iCs/>
          <w:color w:val="000000"/>
          <w:sz w:val="20"/>
          <w:szCs w:val="20"/>
          <w:lang w:eastAsia="en-GB"/>
        </w:rPr>
        <w:t>D</w:t>
      </w:r>
      <w:r w:rsidR="00532506">
        <w:rPr>
          <w:rFonts w:ascii="Arial" w:eastAsia="Times New Roman" w:hAnsi="Arial" w:cs="Arial"/>
          <w:iCs/>
          <w:color w:val="000000"/>
          <w:sz w:val="20"/>
          <w:szCs w:val="20"/>
          <w:lang w:eastAsia="en-GB"/>
        </w:rPr>
        <w:t xml:space="preserve">erivatives </w:t>
      </w:r>
      <w:r>
        <w:rPr>
          <w:rFonts w:ascii="Arial" w:eastAsia="Times New Roman" w:hAnsi="Arial" w:cs="Arial"/>
          <w:iCs/>
          <w:color w:val="000000"/>
          <w:sz w:val="20"/>
          <w:szCs w:val="20"/>
          <w:lang w:eastAsia="en-GB"/>
        </w:rPr>
        <w:t xml:space="preserve">transactions </w:t>
      </w:r>
    </w:p>
    <w:p w14:paraId="30C00A4E" w14:textId="04556B4B" w:rsidR="00512D67" w:rsidRDefault="00D554AF" w:rsidP="00780992">
      <w:pPr>
        <w:rPr>
          <w:rFonts w:ascii="Arial" w:hAnsi="Arial" w:cs="Arial"/>
          <w:b/>
          <w:sz w:val="20"/>
          <w:szCs w:val="20"/>
        </w:rPr>
      </w:pPr>
      <w:r>
        <w:rPr>
          <w:rFonts w:ascii="Arial" w:hAnsi="Arial" w:cs="Arial"/>
          <w:b/>
          <w:sz w:val="20"/>
          <w:szCs w:val="20"/>
        </w:rPr>
        <w:br w:type="page"/>
      </w:r>
    </w:p>
    <w:p w14:paraId="6331BECA" w14:textId="6423A062" w:rsidR="00D554AF" w:rsidRDefault="00D554AF" w:rsidP="00780992">
      <w:pPr>
        <w:rPr>
          <w:rFonts w:ascii="Arial" w:hAnsi="Arial" w:cs="Arial"/>
          <w:b/>
          <w:sz w:val="20"/>
          <w:szCs w:val="20"/>
        </w:rPr>
      </w:pPr>
    </w:p>
    <w:p w14:paraId="45CCCB4F" w14:textId="5B4EC44B" w:rsidR="006921AC" w:rsidRPr="00780992" w:rsidRDefault="006921AC" w:rsidP="00780992">
      <w:pPr>
        <w:rPr>
          <w:rFonts w:ascii="Arial" w:hAnsi="Arial" w:cs="Arial"/>
          <w:b/>
          <w:sz w:val="20"/>
          <w:szCs w:val="20"/>
        </w:rPr>
      </w:pPr>
    </w:p>
    <w:p w14:paraId="48E4277D" w14:textId="754FB895" w:rsidR="002166B8" w:rsidRPr="00E64ADA" w:rsidRDefault="002166B8"/>
    <w:p w14:paraId="3B6B617B" w14:textId="6DD5641E" w:rsidR="00EA5E44" w:rsidRDefault="00EA5E44" w:rsidP="00EA5E44">
      <w:pPr>
        <w:pStyle w:val="Heading1"/>
      </w:pPr>
      <w:r>
        <w:t xml:space="preserve">Additional </w:t>
      </w:r>
      <w:r w:rsidR="00A462FC">
        <w:t>guidelines</w:t>
      </w:r>
      <w:r>
        <w:t xml:space="preserve"> on FX Forward Transactions</w:t>
      </w:r>
    </w:p>
    <w:p w14:paraId="49F49CA3" w14:textId="6D409735" w:rsidR="00590DC8" w:rsidRDefault="000620E6" w:rsidP="000620E6">
      <w:r>
        <w:t xml:space="preserve">FX </w:t>
      </w:r>
      <w:r w:rsidR="000D64FB">
        <w:t xml:space="preserve">forward </w:t>
      </w:r>
      <w:r>
        <w:t xml:space="preserve">transactions should be modelled in </w:t>
      </w:r>
      <w:r w:rsidRPr="00C44690">
        <w:rPr>
          <w:b/>
          <w:bCs/>
        </w:rPr>
        <w:t>2 lines</w:t>
      </w:r>
      <w:r w:rsidR="00FE4BC6">
        <w:rPr>
          <w:b/>
          <w:bCs/>
        </w:rPr>
        <w:t xml:space="preserve"> (buy leg / sell leg)</w:t>
      </w:r>
      <w:r>
        <w:t xml:space="preserve"> of the report, following the additional </w:t>
      </w:r>
      <w:r w:rsidR="00A462FC">
        <w:t>guidelines</w:t>
      </w:r>
      <w:r>
        <w:t>.</w:t>
      </w:r>
    </w:p>
    <w:tbl>
      <w:tblPr>
        <w:tblStyle w:val="TableGrid"/>
        <w:tblW w:w="0" w:type="auto"/>
        <w:tblLook w:val="04A0" w:firstRow="1" w:lastRow="0" w:firstColumn="1" w:lastColumn="0" w:noHBand="0" w:noVBand="1"/>
      </w:tblPr>
      <w:tblGrid>
        <w:gridCol w:w="5665"/>
        <w:gridCol w:w="8283"/>
      </w:tblGrid>
      <w:tr w:rsidR="000620E6" w14:paraId="65C14879" w14:textId="77777777" w:rsidTr="000620E6">
        <w:tc>
          <w:tcPr>
            <w:tcW w:w="5665" w:type="dxa"/>
          </w:tcPr>
          <w:p w14:paraId="3ECFCB80" w14:textId="70885674" w:rsidR="000620E6" w:rsidRPr="00DA1F1A" w:rsidRDefault="000620E6" w:rsidP="000620E6">
            <w:pPr>
              <w:rPr>
                <w:b/>
                <w:bCs/>
              </w:rPr>
            </w:pPr>
            <w:r w:rsidRPr="00DA1F1A">
              <w:rPr>
                <w:b/>
                <w:bCs/>
              </w:rPr>
              <w:t>Data field</w:t>
            </w:r>
          </w:p>
        </w:tc>
        <w:tc>
          <w:tcPr>
            <w:tcW w:w="8283" w:type="dxa"/>
          </w:tcPr>
          <w:p w14:paraId="44BEC611" w14:textId="2A10FFF3" w:rsidR="000620E6" w:rsidRPr="00DA1F1A" w:rsidRDefault="000620E6" w:rsidP="000620E6">
            <w:pPr>
              <w:rPr>
                <w:b/>
                <w:bCs/>
              </w:rPr>
            </w:pPr>
            <w:r w:rsidRPr="00DA1F1A">
              <w:rPr>
                <w:b/>
                <w:bCs/>
              </w:rPr>
              <w:t xml:space="preserve">Additional </w:t>
            </w:r>
            <w:r w:rsidR="00A462FC">
              <w:rPr>
                <w:b/>
                <w:bCs/>
              </w:rPr>
              <w:t>guidelines</w:t>
            </w:r>
            <w:r w:rsidR="006F0C41">
              <w:rPr>
                <w:b/>
                <w:bCs/>
              </w:rPr>
              <w:t xml:space="preserve"> </w:t>
            </w:r>
          </w:p>
        </w:tc>
      </w:tr>
      <w:tr w:rsidR="000620E6" w14:paraId="4FFAC074" w14:textId="77777777" w:rsidTr="000620E6">
        <w:tc>
          <w:tcPr>
            <w:tcW w:w="5665" w:type="dxa"/>
          </w:tcPr>
          <w:p w14:paraId="4306430B" w14:textId="3E6BFD84" w:rsidR="000620E6" w:rsidRDefault="000620E6" w:rsidP="000620E6">
            <w:r w:rsidRPr="000620E6">
              <w:t>12_CIC_code_of_the_instrument</w:t>
            </w:r>
          </w:p>
        </w:tc>
        <w:tc>
          <w:tcPr>
            <w:tcW w:w="8283" w:type="dxa"/>
          </w:tcPr>
          <w:p w14:paraId="6246C4DA" w14:textId="18840C60" w:rsidR="000620E6" w:rsidRDefault="00DA1F1A" w:rsidP="000620E6">
            <w:r>
              <w:t>“</w:t>
            </w:r>
            <w:r w:rsidR="000620E6">
              <w:t>XL</w:t>
            </w:r>
            <w:r>
              <w:t>E2” or “XTE2” may be used</w:t>
            </w:r>
            <w:r w:rsidR="00C44690">
              <w:t>.</w:t>
            </w:r>
          </w:p>
        </w:tc>
      </w:tr>
      <w:tr w:rsidR="00DB73C1" w14:paraId="304F6219" w14:textId="77777777" w:rsidTr="000620E6">
        <w:tc>
          <w:tcPr>
            <w:tcW w:w="5665" w:type="dxa"/>
          </w:tcPr>
          <w:p w14:paraId="0230F7BC" w14:textId="154CB2A2" w:rsidR="00DB73C1" w:rsidRPr="000620E6" w:rsidRDefault="00DB73C1" w:rsidP="000620E6">
            <w:r w:rsidRPr="00DB73C1">
              <w:t>16_Grouping_code_for_multiple_leg_instruments</w:t>
            </w:r>
          </w:p>
        </w:tc>
        <w:tc>
          <w:tcPr>
            <w:tcW w:w="8283" w:type="dxa"/>
          </w:tcPr>
          <w:p w14:paraId="2B9C900F" w14:textId="20B2EFA8" w:rsidR="00DB73C1" w:rsidRDefault="00DB73C1" w:rsidP="000620E6">
            <w:r>
              <w:t xml:space="preserve">It is very important that the </w:t>
            </w:r>
            <w:r w:rsidRPr="00C44690">
              <w:rPr>
                <w:u w:val="single"/>
              </w:rPr>
              <w:t xml:space="preserve">same </w:t>
            </w:r>
            <w:r>
              <w:t>value / ID is assigned to both legs. This makes it possible to connect both legs to the same instrument.</w:t>
            </w:r>
          </w:p>
        </w:tc>
      </w:tr>
      <w:tr w:rsidR="000620E6" w14:paraId="7B8FE4D9" w14:textId="77777777" w:rsidTr="000620E6">
        <w:tc>
          <w:tcPr>
            <w:tcW w:w="5665" w:type="dxa"/>
          </w:tcPr>
          <w:p w14:paraId="61B5F323" w14:textId="1EF9B7C3" w:rsidR="000620E6" w:rsidRDefault="00DA1F1A" w:rsidP="000620E6">
            <w:r w:rsidRPr="00DA1F1A">
              <w:t>24_Market_valuation_in_portfolio_currency_(B)</w:t>
            </w:r>
          </w:p>
        </w:tc>
        <w:tc>
          <w:tcPr>
            <w:tcW w:w="8283" w:type="dxa"/>
          </w:tcPr>
          <w:p w14:paraId="3FE4F305" w14:textId="2BDD4628" w:rsidR="00071223" w:rsidRDefault="00DA1F1A" w:rsidP="000620E6">
            <w:r>
              <w:t xml:space="preserve">There are 2 options: </w:t>
            </w:r>
          </w:p>
          <w:p w14:paraId="22134687" w14:textId="677AA73B" w:rsidR="00071223" w:rsidRDefault="00071223" w:rsidP="00071223">
            <w:pPr>
              <w:pStyle w:val="ListParagraph"/>
              <w:numPr>
                <w:ilvl w:val="0"/>
                <w:numId w:val="20"/>
              </w:numPr>
            </w:pPr>
            <w:r>
              <w:t>(1)</w:t>
            </w:r>
            <w:r w:rsidR="0058623C">
              <w:t xml:space="preserve"> “</w:t>
            </w:r>
            <w:r w:rsidR="0058623C" w:rsidRPr="00C44690">
              <w:rPr>
                <w:b/>
                <w:bCs/>
              </w:rPr>
              <w:t>gross approach</w:t>
            </w:r>
            <w:r w:rsidR="0058623C">
              <w:t xml:space="preserve">”: </w:t>
            </w:r>
            <w:r w:rsidR="00DA1F1A">
              <w:t xml:space="preserve">fill the valuation of </w:t>
            </w:r>
            <w:r w:rsidR="00975F5C">
              <w:t>each leg</w:t>
            </w:r>
          </w:p>
          <w:p w14:paraId="735299F4" w14:textId="70E3FDA1" w:rsidR="000620E6" w:rsidRDefault="00071223">
            <w:pPr>
              <w:pStyle w:val="ListParagraph"/>
              <w:numPr>
                <w:ilvl w:val="0"/>
                <w:numId w:val="20"/>
              </w:numPr>
            </w:pPr>
            <w:r>
              <w:t xml:space="preserve">(2) </w:t>
            </w:r>
            <w:r w:rsidR="0058623C">
              <w:t>“</w:t>
            </w:r>
            <w:r w:rsidR="0058623C" w:rsidRPr="00EA5E44">
              <w:rPr>
                <w:b/>
                <w:bCs/>
              </w:rPr>
              <w:t>net approach</w:t>
            </w:r>
            <w:r w:rsidR="0058623C">
              <w:t xml:space="preserve">”: </w:t>
            </w:r>
            <w:r w:rsidR="00DA1F1A">
              <w:t xml:space="preserve">or by putting the valuation of the transaction in one </w:t>
            </w:r>
            <w:r w:rsidR="00975F5C">
              <w:t>leg</w:t>
            </w:r>
            <w:r w:rsidR="00DA1F1A">
              <w:t xml:space="preserve"> and 0 in the other</w:t>
            </w:r>
            <w:r>
              <w:t xml:space="preserve"> </w:t>
            </w:r>
            <w:r w:rsidR="00EA5E44">
              <w:t>one.</w:t>
            </w:r>
            <w:r>
              <w:t xml:space="preserve"> </w:t>
            </w:r>
          </w:p>
          <w:p w14:paraId="1C3D6D1E" w14:textId="09D9075D" w:rsidR="00EA5E44" w:rsidRDefault="00EA5E44" w:rsidP="00EA5E44">
            <w:r>
              <w:t xml:space="preserve">We recommend using the same approach as the one used in your accounting system </w:t>
            </w:r>
            <w:r w:rsidR="000D64FB">
              <w:t>to</w:t>
            </w:r>
            <w:r>
              <w:t xml:space="preserve"> avoid creating discrepancies between accounting and prudential views. In all cases the sum of the 2 lines should equal the valuation of the transaction used for the calculation of the NAV of the portfolio or the fund.</w:t>
            </w:r>
          </w:p>
        </w:tc>
      </w:tr>
      <w:tr w:rsidR="000620E6" w14:paraId="185F7929" w14:textId="77777777" w:rsidTr="000620E6">
        <w:tc>
          <w:tcPr>
            <w:tcW w:w="5665" w:type="dxa"/>
          </w:tcPr>
          <w:p w14:paraId="5AF6ED69" w14:textId="77777777" w:rsidR="00DA1F1A" w:rsidRPr="00A20659" w:rsidRDefault="00DA1F1A" w:rsidP="00DA1F1A">
            <w:r w:rsidRPr="00A20659">
              <w:t>27_Market_exposure_amount_in_quotation_currency_(A)</w:t>
            </w:r>
          </w:p>
          <w:p w14:paraId="5A4B4793" w14:textId="77777777" w:rsidR="000620E6" w:rsidRDefault="000620E6" w:rsidP="000620E6"/>
        </w:tc>
        <w:tc>
          <w:tcPr>
            <w:tcW w:w="8283" w:type="dxa"/>
          </w:tcPr>
          <w:p w14:paraId="2E0FAC70" w14:textId="6244E512" w:rsidR="000620E6" w:rsidRDefault="00A20659" w:rsidP="000620E6">
            <w:r w:rsidRPr="00532506">
              <w:t xml:space="preserve">Unless specified overwise in S2 regulation, common practice is </w:t>
            </w:r>
            <w:r w:rsidR="007B764D" w:rsidRPr="00532506">
              <w:t xml:space="preserve">to </w:t>
            </w:r>
            <w:r w:rsidRPr="00532506">
              <w:t>put the notional amount of the transaction. This allow participant to be consistent with CESR approaches and Asset Management Prudential regulations</w:t>
            </w:r>
            <w:r w:rsidR="007B764D" w:rsidRPr="00532506">
              <w:t xml:space="preserve"> such AIFMD for assessing leverage on funds with derivatives.</w:t>
            </w:r>
          </w:p>
          <w:p w14:paraId="1505BE3A" w14:textId="311BF807" w:rsidR="00975F5C" w:rsidRDefault="00975F5C" w:rsidP="000620E6">
            <w:r>
              <w:t>Some participants may indicate the actual valuation of future cash flows in each leg.</w:t>
            </w:r>
          </w:p>
        </w:tc>
      </w:tr>
      <w:tr w:rsidR="000620E6" w14:paraId="3FCCC7E0" w14:textId="77777777" w:rsidTr="000620E6">
        <w:tc>
          <w:tcPr>
            <w:tcW w:w="5665" w:type="dxa"/>
          </w:tcPr>
          <w:p w14:paraId="21B7D551" w14:textId="47D14EE1" w:rsidR="000620E6" w:rsidRDefault="000576BC" w:rsidP="000620E6">
            <w:r w:rsidRPr="000576BC">
              <w:t>28_Market_exposure_amount_in_portfolio_currency_(B)</w:t>
            </w:r>
          </w:p>
        </w:tc>
        <w:tc>
          <w:tcPr>
            <w:tcW w:w="8283" w:type="dxa"/>
          </w:tcPr>
          <w:p w14:paraId="247F397A" w14:textId="4B40C360" w:rsidR="000620E6" w:rsidRDefault="000576BC" w:rsidP="000620E6">
            <w:r>
              <w:t xml:space="preserve">The exposure amount in portfolio currency should be filled with the value, in portfolio currency, of the market exposure in quotation </w:t>
            </w:r>
            <w:r w:rsidRPr="00AA4382">
              <w:t xml:space="preserve">currency. </w:t>
            </w:r>
          </w:p>
        </w:tc>
      </w:tr>
    </w:tbl>
    <w:p w14:paraId="51D39973" w14:textId="0CF7422A" w:rsidR="00CD7C4A" w:rsidRDefault="00CD7C4A" w:rsidP="000620E6">
      <w:pPr>
        <w:rPr>
          <w:b/>
          <w:bCs/>
        </w:rPr>
      </w:pPr>
    </w:p>
    <w:p w14:paraId="1C5EB87F" w14:textId="757FECBE" w:rsidR="00C2761A" w:rsidRDefault="00975F5C" w:rsidP="000620E6">
      <w:r w:rsidRPr="00975F5C">
        <w:rPr>
          <w:noProof/>
        </w:rPr>
        <w:lastRenderedPageBreak/>
        <w:drawing>
          <wp:inline distT="0" distB="0" distL="0" distR="0" wp14:anchorId="6F844EF5" wp14:editId="5D992CFA">
            <wp:extent cx="8863330" cy="203644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2036445"/>
                    </a:xfrm>
                    <a:prstGeom prst="rect">
                      <a:avLst/>
                    </a:prstGeom>
                    <a:noFill/>
                    <a:ln>
                      <a:noFill/>
                    </a:ln>
                  </pic:spPr>
                </pic:pic>
              </a:graphicData>
            </a:graphic>
          </wp:inline>
        </w:drawing>
      </w:r>
    </w:p>
    <w:p w14:paraId="04548F40" w14:textId="1EDB7065" w:rsidR="000D64FB" w:rsidRDefault="000D64FB" w:rsidP="000D64FB">
      <w:pPr>
        <w:pStyle w:val="Heading1"/>
      </w:pPr>
      <w:r>
        <w:t xml:space="preserve">Additional </w:t>
      </w:r>
      <w:r w:rsidR="00A462FC">
        <w:t>guidelines</w:t>
      </w:r>
      <w:r>
        <w:t xml:space="preserve"> o</w:t>
      </w:r>
      <w:r w:rsidR="000600DF">
        <w:t>n</w:t>
      </w:r>
      <w:r>
        <w:t xml:space="preserve"> FX Options Instruments</w:t>
      </w:r>
    </w:p>
    <w:p w14:paraId="43691A72" w14:textId="7F7C4ADE" w:rsidR="000D64FB" w:rsidRDefault="000D64FB" w:rsidP="000620E6">
      <w:r>
        <w:t xml:space="preserve">FX options transactions should also be modelled in </w:t>
      </w:r>
      <w:r w:rsidR="000600DF">
        <w:t xml:space="preserve">2 </w:t>
      </w:r>
      <w:r>
        <w:t>lines (call leg / put leg) for the report adopting the same principles as for the FX forward transaction. Nevertheless, for practical reasons, it is possible to modelled one leg in case one the currency is the one used for the valuation of the portfolio</w:t>
      </w:r>
    </w:p>
    <w:tbl>
      <w:tblPr>
        <w:tblStyle w:val="TableGrid"/>
        <w:tblW w:w="0" w:type="auto"/>
        <w:tblLook w:val="04A0" w:firstRow="1" w:lastRow="0" w:firstColumn="1" w:lastColumn="0" w:noHBand="0" w:noVBand="1"/>
      </w:tblPr>
      <w:tblGrid>
        <w:gridCol w:w="5665"/>
        <w:gridCol w:w="8283"/>
      </w:tblGrid>
      <w:tr w:rsidR="000D64FB" w14:paraId="13099832" w14:textId="77777777" w:rsidTr="00C67D50">
        <w:tc>
          <w:tcPr>
            <w:tcW w:w="5665" w:type="dxa"/>
          </w:tcPr>
          <w:p w14:paraId="79C9C2AE" w14:textId="77777777" w:rsidR="000D64FB" w:rsidRPr="00DA1F1A" w:rsidRDefault="000D64FB" w:rsidP="00C67D50">
            <w:pPr>
              <w:rPr>
                <w:b/>
                <w:bCs/>
              </w:rPr>
            </w:pPr>
            <w:r w:rsidRPr="00DA1F1A">
              <w:rPr>
                <w:b/>
                <w:bCs/>
              </w:rPr>
              <w:t>Data field</w:t>
            </w:r>
          </w:p>
        </w:tc>
        <w:tc>
          <w:tcPr>
            <w:tcW w:w="8283" w:type="dxa"/>
          </w:tcPr>
          <w:p w14:paraId="4C3E7489" w14:textId="638FBE8A" w:rsidR="000D64FB" w:rsidRPr="00DA1F1A" w:rsidRDefault="000D64FB" w:rsidP="00C67D50">
            <w:pPr>
              <w:rPr>
                <w:b/>
                <w:bCs/>
              </w:rPr>
            </w:pPr>
            <w:r w:rsidRPr="00DA1F1A">
              <w:rPr>
                <w:b/>
                <w:bCs/>
              </w:rPr>
              <w:t xml:space="preserve">Additional </w:t>
            </w:r>
            <w:r w:rsidR="00A462FC">
              <w:rPr>
                <w:b/>
                <w:bCs/>
              </w:rPr>
              <w:t>guidelines</w:t>
            </w:r>
            <w:r>
              <w:rPr>
                <w:b/>
                <w:bCs/>
              </w:rPr>
              <w:t xml:space="preserve"> </w:t>
            </w:r>
          </w:p>
        </w:tc>
      </w:tr>
      <w:tr w:rsidR="000D64FB" w14:paraId="47406A02" w14:textId="77777777" w:rsidTr="00C67D50">
        <w:tc>
          <w:tcPr>
            <w:tcW w:w="5665" w:type="dxa"/>
          </w:tcPr>
          <w:p w14:paraId="72206345" w14:textId="77777777" w:rsidR="000D64FB" w:rsidRDefault="000D64FB" w:rsidP="00C67D50">
            <w:r w:rsidRPr="000620E6">
              <w:t>12_CIC_code_of_the_instrument</w:t>
            </w:r>
          </w:p>
        </w:tc>
        <w:tc>
          <w:tcPr>
            <w:tcW w:w="8283" w:type="dxa"/>
          </w:tcPr>
          <w:p w14:paraId="390393CA" w14:textId="209F9278" w:rsidR="000D64FB" w:rsidRDefault="000D64FB" w:rsidP="00C67D50">
            <w:r>
              <w:t>“xxB3” or “xxC3” may be used. “xx” is the country of quotation for listed options or “XT” or “</w:t>
            </w:r>
            <w:r w:rsidR="00A71D9E">
              <w:t>XL” for OTC product.</w:t>
            </w:r>
          </w:p>
          <w:p w14:paraId="5F8D353E" w14:textId="369F819E" w:rsidR="00A71D9E" w:rsidRDefault="00A71D9E" w:rsidP="00C67D50">
            <w:r w:rsidRPr="00A71D9E">
              <w:rPr>
                <w:u w:val="single"/>
              </w:rPr>
              <w:t>The cic code of the transaction should be the same</w:t>
            </w:r>
            <w:r>
              <w:t xml:space="preserve"> for both legs in case the transaction is modelled with 2 legs. (for example, a call EUR/YEN and a put YEN/EUR are the same). </w:t>
            </w:r>
          </w:p>
        </w:tc>
      </w:tr>
      <w:tr w:rsidR="000D64FB" w14:paraId="3DC24AFD" w14:textId="77777777" w:rsidTr="00C67D50">
        <w:tc>
          <w:tcPr>
            <w:tcW w:w="5665" w:type="dxa"/>
          </w:tcPr>
          <w:p w14:paraId="0D2FAA71" w14:textId="77777777" w:rsidR="000D64FB" w:rsidRPr="000620E6" w:rsidRDefault="000D64FB" w:rsidP="00C67D50">
            <w:r w:rsidRPr="00DB73C1">
              <w:t>16_Grouping_code_for_multiple_leg_instruments</w:t>
            </w:r>
          </w:p>
        </w:tc>
        <w:tc>
          <w:tcPr>
            <w:tcW w:w="8283" w:type="dxa"/>
          </w:tcPr>
          <w:p w14:paraId="78AA711D" w14:textId="555D5B30" w:rsidR="000D64FB" w:rsidRDefault="000D64FB" w:rsidP="00C67D50">
            <w:r>
              <w:t>I</w:t>
            </w:r>
            <w:r w:rsidR="00A71D9E">
              <w:t>f required, i</w:t>
            </w:r>
            <w:r>
              <w:t xml:space="preserve">t is very important that the </w:t>
            </w:r>
            <w:r w:rsidRPr="00A71D9E">
              <w:rPr>
                <w:u w:val="single"/>
              </w:rPr>
              <w:t>same value / ID is assigned to both legs</w:t>
            </w:r>
            <w:r>
              <w:t>. This makes it possible to connect both legs to the same instrument.</w:t>
            </w:r>
          </w:p>
        </w:tc>
      </w:tr>
      <w:tr w:rsidR="000D64FB" w14:paraId="0A861661" w14:textId="77777777" w:rsidTr="00C67D50">
        <w:tc>
          <w:tcPr>
            <w:tcW w:w="5665" w:type="dxa"/>
          </w:tcPr>
          <w:p w14:paraId="61C3A3A6" w14:textId="77777777" w:rsidR="000D64FB" w:rsidRDefault="000D64FB" w:rsidP="00C67D50">
            <w:r w:rsidRPr="00DA1F1A">
              <w:t>24_Market_valuation_in_portfolio_currency_(B)</w:t>
            </w:r>
          </w:p>
        </w:tc>
        <w:tc>
          <w:tcPr>
            <w:tcW w:w="8283" w:type="dxa"/>
          </w:tcPr>
          <w:p w14:paraId="0727521F" w14:textId="6046A104" w:rsidR="000D64FB" w:rsidRDefault="00A71D9E" w:rsidP="00C67D50">
            <w:r>
              <w:t xml:space="preserve">Valuation of the option. In case the instrument is modelled on 2 lines, put the valuation of the option in one line and 0 in the other. </w:t>
            </w:r>
          </w:p>
        </w:tc>
      </w:tr>
      <w:tr w:rsidR="000D64FB" w14:paraId="0C99CA6B" w14:textId="77777777" w:rsidTr="00C67D50">
        <w:tc>
          <w:tcPr>
            <w:tcW w:w="5665" w:type="dxa"/>
          </w:tcPr>
          <w:p w14:paraId="551533AB" w14:textId="77777777" w:rsidR="000D64FB" w:rsidRDefault="000D64FB" w:rsidP="00C67D50">
            <w:pPr>
              <w:rPr>
                <w:rFonts w:ascii="Arial" w:hAnsi="Arial" w:cs="Arial"/>
                <w:color w:val="000000"/>
                <w:sz w:val="18"/>
                <w:szCs w:val="18"/>
              </w:rPr>
            </w:pPr>
            <w:r>
              <w:rPr>
                <w:rFonts w:ascii="Arial" w:hAnsi="Arial" w:cs="Arial"/>
                <w:color w:val="000000"/>
                <w:sz w:val="18"/>
                <w:szCs w:val="18"/>
              </w:rPr>
              <w:t>27_Market_exposure_amount_in_quotation_currency_(A)</w:t>
            </w:r>
          </w:p>
          <w:p w14:paraId="296C1C50" w14:textId="77777777" w:rsidR="000D64FB" w:rsidRDefault="000D64FB" w:rsidP="00C67D50"/>
        </w:tc>
        <w:tc>
          <w:tcPr>
            <w:tcW w:w="8283" w:type="dxa"/>
          </w:tcPr>
          <w:p w14:paraId="5845E61D" w14:textId="0EBCB316" w:rsidR="000D64FB" w:rsidRDefault="00A20659" w:rsidP="00C67D50">
            <w:r w:rsidRPr="00532506">
              <w:t>Unless specified overwise in S2 regulation, common practice is put the notional or notional amount of the transaction, multiplied by the delta.</w:t>
            </w:r>
            <w:r w:rsidR="00975F5C" w:rsidRPr="00532506">
              <w:t xml:space="preserve"> This allow participant to be consistent with CESR approaches and Asset Management Prudential regulations such AIFMD for assessing leverage on funds with derivatives.</w:t>
            </w:r>
          </w:p>
        </w:tc>
      </w:tr>
      <w:tr w:rsidR="000D64FB" w14:paraId="7C8AF8A5" w14:textId="77777777" w:rsidTr="00C67D50">
        <w:tc>
          <w:tcPr>
            <w:tcW w:w="5665" w:type="dxa"/>
          </w:tcPr>
          <w:p w14:paraId="02F72339" w14:textId="77777777" w:rsidR="000D64FB" w:rsidRDefault="000D64FB" w:rsidP="00C67D50">
            <w:r w:rsidRPr="000576BC">
              <w:lastRenderedPageBreak/>
              <w:t>28_Market_exposure_amount_in_portfolio_currency_(B)</w:t>
            </w:r>
          </w:p>
        </w:tc>
        <w:tc>
          <w:tcPr>
            <w:tcW w:w="8283" w:type="dxa"/>
          </w:tcPr>
          <w:p w14:paraId="5E0EE599" w14:textId="77777777" w:rsidR="000D64FB" w:rsidRDefault="000D64FB" w:rsidP="00C67D50">
            <w:r>
              <w:t xml:space="preserve">The exposure amount in portfolio currency should be filled with the value, in portfolio currency, of the market exposure in quotation </w:t>
            </w:r>
            <w:r w:rsidRPr="00AA4382">
              <w:t xml:space="preserve">currency. </w:t>
            </w:r>
          </w:p>
        </w:tc>
      </w:tr>
    </w:tbl>
    <w:p w14:paraId="32FC925A" w14:textId="1E875C31" w:rsidR="000D64FB" w:rsidRDefault="000D64FB" w:rsidP="000620E6"/>
    <w:p w14:paraId="49E88F54" w14:textId="5F43EEDC" w:rsidR="000D64FB" w:rsidRDefault="000D64FB" w:rsidP="000620E6"/>
    <w:p w14:paraId="4C2F4AFB" w14:textId="4EABC5A2" w:rsidR="00A71D9E" w:rsidRDefault="000600DF" w:rsidP="000620E6">
      <w:r w:rsidRPr="000600DF">
        <w:rPr>
          <w:noProof/>
        </w:rPr>
        <w:drawing>
          <wp:inline distT="0" distB="0" distL="0" distR="0" wp14:anchorId="58E654F1" wp14:editId="110002FF">
            <wp:extent cx="8863330" cy="16516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330" cy="1651635"/>
                    </a:xfrm>
                    <a:prstGeom prst="rect">
                      <a:avLst/>
                    </a:prstGeom>
                    <a:noFill/>
                    <a:ln>
                      <a:noFill/>
                    </a:ln>
                  </pic:spPr>
                </pic:pic>
              </a:graphicData>
            </a:graphic>
          </wp:inline>
        </w:drawing>
      </w:r>
    </w:p>
    <w:p w14:paraId="3B4A84EF" w14:textId="7FEADFD6" w:rsidR="00975F5C" w:rsidRDefault="00975F5C" w:rsidP="000600DF">
      <w:pPr>
        <w:pStyle w:val="Heading1"/>
      </w:pPr>
      <w:r>
        <w:t xml:space="preserve">Additional </w:t>
      </w:r>
      <w:r w:rsidR="00A462FC">
        <w:t>guidelines</w:t>
      </w:r>
      <w:r>
        <w:t xml:space="preserve"> on FX future instruments</w:t>
      </w:r>
    </w:p>
    <w:p w14:paraId="02CA0AE8" w14:textId="0624484D" w:rsidR="00975F5C" w:rsidRDefault="00975F5C" w:rsidP="00975F5C">
      <w:r>
        <w:t>FX future transactions should be modelled in 2 lines.</w:t>
      </w:r>
    </w:p>
    <w:tbl>
      <w:tblPr>
        <w:tblStyle w:val="TableGrid"/>
        <w:tblW w:w="0" w:type="auto"/>
        <w:tblLook w:val="04A0" w:firstRow="1" w:lastRow="0" w:firstColumn="1" w:lastColumn="0" w:noHBand="0" w:noVBand="1"/>
      </w:tblPr>
      <w:tblGrid>
        <w:gridCol w:w="5665"/>
        <w:gridCol w:w="8283"/>
      </w:tblGrid>
      <w:tr w:rsidR="00F33D0B" w14:paraId="319E1E7C" w14:textId="77777777" w:rsidTr="0058638D">
        <w:tc>
          <w:tcPr>
            <w:tcW w:w="5665" w:type="dxa"/>
          </w:tcPr>
          <w:p w14:paraId="223DCD98" w14:textId="77777777" w:rsidR="00F33D0B" w:rsidRPr="00DA1F1A" w:rsidRDefault="00F33D0B" w:rsidP="0058638D">
            <w:pPr>
              <w:rPr>
                <w:b/>
                <w:bCs/>
              </w:rPr>
            </w:pPr>
            <w:r w:rsidRPr="00DA1F1A">
              <w:rPr>
                <w:b/>
                <w:bCs/>
              </w:rPr>
              <w:t>Data field</w:t>
            </w:r>
          </w:p>
        </w:tc>
        <w:tc>
          <w:tcPr>
            <w:tcW w:w="8283" w:type="dxa"/>
          </w:tcPr>
          <w:p w14:paraId="3804F7AB" w14:textId="63FCA43F" w:rsidR="00F33D0B" w:rsidRPr="00DA1F1A" w:rsidRDefault="00F33D0B" w:rsidP="0058638D">
            <w:pPr>
              <w:rPr>
                <w:b/>
                <w:bCs/>
              </w:rPr>
            </w:pPr>
            <w:r w:rsidRPr="00DA1F1A">
              <w:rPr>
                <w:b/>
                <w:bCs/>
              </w:rPr>
              <w:t xml:space="preserve">Additional </w:t>
            </w:r>
            <w:r w:rsidR="00A462FC">
              <w:rPr>
                <w:b/>
                <w:bCs/>
              </w:rPr>
              <w:t>guidelines</w:t>
            </w:r>
            <w:r>
              <w:rPr>
                <w:b/>
                <w:bCs/>
              </w:rPr>
              <w:t xml:space="preserve"> </w:t>
            </w:r>
          </w:p>
        </w:tc>
      </w:tr>
      <w:tr w:rsidR="00F33D0B" w14:paraId="38F87793" w14:textId="77777777" w:rsidTr="0058638D">
        <w:tc>
          <w:tcPr>
            <w:tcW w:w="5665" w:type="dxa"/>
          </w:tcPr>
          <w:p w14:paraId="1A0439D7" w14:textId="77777777" w:rsidR="00F33D0B" w:rsidRDefault="00F33D0B" w:rsidP="0058638D">
            <w:r w:rsidRPr="000620E6">
              <w:t>12_CIC_code_of_the_instrument</w:t>
            </w:r>
          </w:p>
        </w:tc>
        <w:tc>
          <w:tcPr>
            <w:tcW w:w="8283" w:type="dxa"/>
          </w:tcPr>
          <w:p w14:paraId="2F2BA8D3" w14:textId="0ADB05B4" w:rsidR="00F33D0B" w:rsidRDefault="00F33D0B" w:rsidP="0058638D">
            <w:r>
              <w:t>“xxA3” should be used. “xx” is the country of quotation for listed options or “XT” or “XL” for OTC product.</w:t>
            </w:r>
          </w:p>
        </w:tc>
      </w:tr>
      <w:tr w:rsidR="00F33D0B" w14:paraId="5ECAE5EE" w14:textId="77777777" w:rsidTr="0058638D">
        <w:tc>
          <w:tcPr>
            <w:tcW w:w="5665" w:type="dxa"/>
          </w:tcPr>
          <w:p w14:paraId="2F1022D6" w14:textId="77777777" w:rsidR="00F33D0B" w:rsidRPr="000620E6" w:rsidRDefault="00F33D0B" w:rsidP="0058638D">
            <w:r w:rsidRPr="00DB73C1">
              <w:t>16_Grouping_code_for_multiple_leg_instruments</w:t>
            </w:r>
          </w:p>
        </w:tc>
        <w:tc>
          <w:tcPr>
            <w:tcW w:w="8283" w:type="dxa"/>
          </w:tcPr>
          <w:p w14:paraId="19153CD1" w14:textId="77777777" w:rsidR="00F33D0B" w:rsidRDefault="00F33D0B" w:rsidP="0058638D">
            <w:r>
              <w:t xml:space="preserve">It is very important that the </w:t>
            </w:r>
            <w:r w:rsidRPr="00A71D9E">
              <w:rPr>
                <w:u w:val="single"/>
              </w:rPr>
              <w:t>same value / ID is assigned to both legs</w:t>
            </w:r>
            <w:r>
              <w:t>. This makes it possible to connect both legs to the same instrument.</w:t>
            </w:r>
          </w:p>
        </w:tc>
      </w:tr>
      <w:tr w:rsidR="00F33D0B" w14:paraId="6285BD9C" w14:textId="77777777" w:rsidTr="0058638D">
        <w:tc>
          <w:tcPr>
            <w:tcW w:w="5665" w:type="dxa"/>
          </w:tcPr>
          <w:p w14:paraId="7CA8DCD8" w14:textId="0A3F0F16" w:rsidR="00F33D0B" w:rsidRPr="00DB73C1" w:rsidRDefault="00F33D0B" w:rsidP="0058638D">
            <w:r w:rsidRPr="00F33D0B">
              <w:t>19_Nominal_amount</w:t>
            </w:r>
          </w:p>
        </w:tc>
        <w:tc>
          <w:tcPr>
            <w:tcW w:w="8283" w:type="dxa"/>
          </w:tcPr>
          <w:p w14:paraId="752D3636" w14:textId="01F8E0BD" w:rsidR="00F33D0B" w:rsidRDefault="00F33D0B" w:rsidP="0058638D">
            <w:r>
              <w:t>The nominal amount is negative for the quotation currency leg and positive for the other currency’s leg, in case of long position and vice versa for a short position.</w:t>
            </w:r>
          </w:p>
        </w:tc>
      </w:tr>
      <w:tr w:rsidR="00F33D0B" w14:paraId="095D11BB" w14:textId="77777777" w:rsidTr="0058638D">
        <w:tc>
          <w:tcPr>
            <w:tcW w:w="5665" w:type="dxa"/>
          </w:tcPr>
          <w:p w14:paraId="28E3CAA8" w14:textId="77777777" w:rsidR="00F33D0B" w:rsidRDefault="00F33D0B" w:rsidP="0058638D">
            <w:r w:rsidRPr="00DA1F1A">
              <w:t>24_Market_valuation_in_portfolio_currency_(B)</w:t>
            </w:r>
          </w:p>
        </w:tc>
        <w:tc>
          <w:tcPr>
            <w:tcW w:w="8283" w:type="dxa"/>
          </w:tcPr>
          <w:p w14:paraId="45E257C9" w14:textId="56D14E02" w:rsidR="00F33D0B" w:rsidRDefault="00F33D0B" w:rsidP="0058638D">
            <w:r>
              <w:t xml:space="preserve">The valuation is indicated on one leg. </w:t>
            </w:r>
          </w:p>
          <w:p w14:paraId="3EB037E5" w14:textId="16FD129B" w:rsidR="00F33D0B" w:rsidRDefault="00F33D0B" w:rsidP="0058638D"/>
        </w:tc>
      </w:tr>
      <w:tr w:rsidR="00F33D0B" w14:paraId="2DB536C4" w14:textId="77777777" w:rsidTr="0058638D">
        <w:tc>
          <w:tcPr>
            <w:tcW w:w="5665" w:type="dxa"/>
          </w:tcPr>
          <w:p w14:paraId="527DD5A0" w14:textId="77777777" w:rsidR="00F33D0B" w:rsidRPr="00A20659" w:rsidRDefault="00F33D0B" w:rsidP="0058638D">
            <w:r w:rsidRPr="00A20659">
              <w:t>27_Market_exposure_amount_in_quotation_currency_(A)</w:t>
            </w:r>
          </w:p>
          <w:p w14:paraId="407938C9" w14:textId="77777777" w:rsidR="00F33D0B" w:rsidRDefault="00F33D0B" w:rsidP="0058638D"/>
        </w:tc>
        <w:tc>
          <w:tcPr>
            <w:tcW w:w="8283" w:type="dxa"/>
          </w:tcPr>
          <w:p w14:paraId="4069963B" w14:textId="0A55FE99" w:rsidR="00F33D0B" w:rsidRDefault="00F33D0B" w:rsidP="00F33D0B">
            <w:r>
              <w:t>Notional or nominal amount.</w:t>
            </w:r>
          </w:p>
        </w:tc>
      </w:tr>
      <w:tr w:rsidR="00F33D0B" w14:paraId="50272C3E" w14:textId="77777777" w:rsidTr="0058638D">
        <w:tc>
          <w:tcPr>
            <w:tcW w:w="5665" w:type="dxa"/>
          </w:tcPr>
          <w:p w14:paraId="1C02D52C" w14:textId="77777777" w:rsidR="00F33D0B" w:rsidRDefault="00F33D0B" w:rsidP="0058638D">
            <w:r w:rsidRPr="000576BC">
              <w:lastRenderedPageBreak/>
              <w:t>28_Market_exposure_amount_in_portfolio_currency_(B)</w:t>
            </w:r>
          </w:p>
        </w:tc>
        <w:tc>
          <w:tcPr>
            <w:tcW w:w="8283" w:type="dxa"/>
          </w:tcPr>
          <w:p w14:paraId="33B8B5E7" w14:textId="77777777" w:rsidR="00F33D0B" w:rsidRDefault="00F33D0B" w:rsidP="0058638D">
            <w:r>
              <w:t xml:space="preserve">The exposure amount in portfolio currency should be filled with the value, in portfolio currency, of the market exposure in quotation </w:t>
            </w:r>
            <w:r w:rsidRPr="00AA4382">
              <w:t xml:space="preserve">currency. </w:t>
            </w:r>
          </w:p>
        </w:tc>
      </w:tr>
    </w:tbl>
    <w:p w14:paraId="38F669CC" w14:textId="77777777" w:rsidR="00975F5C" w:rsidRDefault="00975F5C" w:rsidP="00975F5C"/>
    <w:p w14:paraId="0FF1C243" w14:textId="4E8E4251" w:rsidR="00975F5C" w:rsidRPr="00975F5C" w:rsidRDefault="00975F5C" w:rsidP="00975F5C">
      <w:r w:rsidRPr="00975F5C">
        <w:rPr>
          <w:noProof/>
        </w:rPr>
        <w:drawing>
          <wp:inline distT="0" distB="0" distL="0" distR="0" wp14:anchorId="448C2E6C" wp14:editId="2BF8E2DF">
            <wp:extent cx="8863330" cy="14484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1448435"/>
                    </a:xfrm>
                    <a:prstGeom prst="rect">
                      <a:avLst/>
                    </a:prstGeom>
                    <a:noFill/>
                    <a:ln>
                      <a:noFill/>
                    </a:ln>
                  </pic:spPr>
                </pic:pic>
              </a:graphicData>
            </a:graphic>
          </wp:inline>
        </w:drawing>
      </w:r>
    </w:p>
    <w:p w14:paraId="3B4F80C4" w14:textId="253545A8" w:rsidR="000600DF" w:rsidRDefault="000600DF" w:rsidP="000600DF">
      <w:pPr>
        <w:pStyle w:val="Heading1"/>
      </w:pPr>
      <w:r>
        <w:t xml:space="preserve">Additional </w:t>
      </w:r>
      <w:r w:rsidR="00A462FC">
        <w:t>guidelines</w:t>
      </w:r>
      <w:r>
        <w:t xml:space="preserve"> on IRS Instruments</w:t>
      </w:r>
    </w:p>
    <w:p w14:paraId="740BC208" w14:textId="50E35448" w:rsidR="000600DF" w:rsidRDefault="000600DF" w:rsidP="000600DF">
      <w:r>
        <w:t>IRS transactions should be modelled in 2 lines.</w:t>
      </w:r>
    </w:p>
    <w:tbl>
      <w:tblPr>
        <w:tblStyle w:val="TableGrid"/>
        <w:tblW w:w="0" w:type="auto"/>
        <w:tblLook w:val="04A0" w:firstRow="1" w:lastRow="0" w:firstColumn="1" w:lastColumn="0" w:noHBand="0" w:noVBand="1"/>
      </w:tblPr>
      <w:tblGrid>
        <w:gridCol w:w="5665"/>
        <w:gridCol w:w="8283"/>
      </w:tblGrid>
      <w:tr w:rsidR="000600DF" w14:paraId="56D4C8E4" w14:textId="77777777" w:rsidTr="00C67D50">
        <w:tc>
          <w:tcPr>
            <w:tcW w:w="5665" w:type="dxa"/>
          </w:tcPr>
          <w:p w14:paraId="021F9D27" w14:textId="77777777" w:rsidR="000600DF" w:rsidRPr="00DA1F1A" w:rsidRDefault="000600DF" w:rsidP="00C67D50">
            <w:pPr>
              <w:rPr>
                <w:b/>
                <w:bCs/>
              </w:rPr>
            </w:pPr>
            <w:r w:rsidRPr="00DA1F1A">
              <w:rPr>
                <w:b/>
                <w:bCs/>
              </w:rPr>
              <w:t>Data field</w:t>
            </w:r>
          </w:p>
        </w:tc>
        <w:tc>
          <w:tcPr>
            <w:tcW w:w="8283" w:type="dxa"/>
          </w:tcPr>
          <w:p w14:paraId="11DC988B" w14:textId="1F1A408E" w:rsidR="000600DF" w:rsidRPr="00DA1F1A" w:rsidRDefault="000600DF" w:rsidP="00C67D50">
            <w:pPr>
              <w:rPr>
                <w:b/>
                <w:bCs/>
              </w:rPr>
            </w:pPr>
            <w:r w:rsidRPr="00DA1F1A">
              <w:rPr>
                <w:b/>
                <w:bCs/>
              </w:rPr>
              <w:t xml:space="preserve">Additional </w:t>
            </w:r>
            <w:r w:rsidR="00A462FC">
              <w:rPr>
                <w:b/>
                <w:bCs/>
              </w:rPr>
              <w:t>guidelines</w:t>
            </w:r>
            <w:r>
              <w:rPr>
                <w:b/>
                <w:bCs/>
              </w:rPr>
              <w:t xml:space="preserve"> </w:t>
            </w:r>
          </w:p>
        </w:tc>
      </w:tr>
      <w:tr w:rsidR="000600DF" w14:paraId="7A2A834A" w14:textId="77777777" w:rsidTr="00C67D50">
        <w:tc>
          <w:tcPr>
            <w:tcW w:w="5665" w:type="dxa"/>
          </w:tcPr>
          <w:p w14:paraId="3C2BACBE" w14:textId="77777777" w:rsidR="000600DF" w:rsidRDefault="000600DF" w:rsidP="00C67D50">
            <w:r w:rsidRPr="000620E6">
              <w:t>12_CIC_code_of_the_instrument</w:t>
            </w:r>
          </w:p>
        </w:tc>
        <w:tc>
          <w:tcPr>
            <w:tcW w:w="8283" w:type="dxa"/>
          </w:tcPr>
          <w:p w14:paraId="6B74C806" w14:textId="42DC3001" w:rsidR="000600DF" w:rsidRDefault="000600DF" w:rsidP="000600DF">
            <w:r>
              <w:t xml:space="preserve">“XTD1” should be used. </w:t>
            </w:r>
          </w:p>
        </w:tc>
      </w:tr>
      <w:tr w:rsidR="000600DF" w14:paraId="712F7F43" w14:textId="77777777" w:rsidTr="00C67D50">
        <w:tc>
          <w:tcPr>
            <w:tcW w:w="5665" w:type="dxa"/>
          </w:tcPr>
          <w:p w14:paraId="4BFBAA7D" w14:textId="77777777" w:rsidR="000600DF" w:rsidRPr="000620E6" w:rsidRDefault="000600DF" w:rsidP="00C67D50">
            <w:r w:rsidRPr="00DB73C1">
              <w:t>16_Grouping_code_for_multiple_leg_instruments</w:t>
            </w:r>
          </w:p>
        </w:tc>
        <w:tc>
          <w:tcPr>
            <w:tcW w:w="8283" w:type="dxa"/>
          </w:tcPr>
          <w:p w14:paraId="10C859F3" w14:textId="34CB31EE" w:rsidR="000600DF" w:rsidRDefault="000600DF" w:rsidP="00C67D50">
            <w:r>
              <w:t xml:space="preserve">It is very important that the </w:t>
            </w:r>
            <w:r w:rsidRPr="00A71D9E">
              <w:rPr>
                <w:u w:val="single"/>
              </w:rPr>
              <w:t>same value / ID is assigned to both legs</w:t>
            </w:r>
            <w:r>
              <w:t>. This makes it possible to connect both legs to the same instrument.</w:t>
            </w:r>
          </w:p>
        </w:tc>
      </w:tr>
      <w:tr w:rsidR="000600DF" w14:paraId="659F731A" w14:textId="77777777" w:rsidTr="00C67D50">
        <w:tc>
          <w:tcPr>
            <w:tcW w:w="5665" w:type="dxa"/>
          </w:tcPr>
          <w:p w14:paraId="46323230" w14:textId="77777777" w:rsidR="000600DF" w:rsidRDefault="000600DF" w:rsidP="00C67D50">
            <w:r w:rsidRPr="00DA1F1A">
              <w:t>24_Market_valuation_in_portfolio_currency_(B)</w:t>
            </w:r>
          </w:p>
        </w:tc>
        <w:tc>
          <w:tcPr>
            <w:tcW w:w="8283" w:type="dxa"/>
          </w:tcPr>
          <w:p w14:paraId="5ACAEDA7" w14:textId="002666FE" w:rsidR="00CE44BD" w:rsidRDefault="00CE44BD" w:rsidP="000600DF">
            <w:r>
              <w:t>The valuation may be indicated on one leg or detailed on each leg.</w:t>
            </w:r>
          </w:p>
          <w:p w14:paraId="047B4163" w14:textId="77777777" w:rsidR="00CE44BD" w:rsidRDefault="00CE44BD" w:rsidP="000600DF"/>
          <w:p w14:paraId="0EBC373A" w14:textId="7756DF8C" w:rsidR="000600DF" w:rsidRDefault="000600DF" w:rsidP="000600DF">
            <w:r>
              <w:t>We recommend using the same approach as the one used in your accounting system to avoid creating discrepancies between accounting and prudential views. In all cases the sum of the 2 lines should equal the valuation of the transaction used for the calculation of the NAV of the portfolio or the fund.</w:t>
            </w:r>
          </w:p>
        </w:tc>
      </w:tr>
      <w:tr w:rsidR="000600DF" w14:paraId="505E374D" w14:textId="77777777" w:rsidTr="00C67D50">
        <w:tc>
          <w:tcPr>
            <w:tcW w:w="5665" w:type="dxa"/>
          </w:tcPr>
          <w:p w14:paraId="310F8DC7" w14:textId="77777777" w:rsidR="000600DF" w:rsidRPr="00A20659" w:rsidRDefault="000600DF" w:rsidP="000600DF">
            <w:r w:rsidRPr="00A20659">
              <w:t>27_Market_exposure_amount_in_quotation_currency_(A)</w:t>
            </w:r>
          </w:p>
          <w:p w14:paraId="3CBEE342" w14:textId="77777777" w:rsidR="000600DF" w:rsidRDefault="000600DF" w:rsidP="000600DF"/>
        </w:tc>
        <w:tc>
          <w:tcPr>
            <w:tcW w:w="8283" w:type="dxa"/>
          </w:tcPr>
          <w:p w14:paraId="3E20C663" w14:textId="15EDBC49" w:rsidR="00975F5C" w:rsidRDefault="00A20659" w:rsidP="00975F5C">
            <w:r w:rsidRPr="00532506">
              <w:t xml:space="preserve">Unless specified overwise in S2 regulation, common practice is put the </w:t>
            </w:r>
            <w:r w:rsidR="000600DF" w:rsidRPr="00532506">
              <w:t>no</w:t>
            </w:r>
            <w:r w:rsidRPr="00532506">
              <w:t>tional</w:t>
            </w:r>
            <w:r w:rsidR="000600DF" w:rsidRPr="00532506">
              <w:t xml:space="preserve"> amount of the transaction</w:t>
            </w:r>
            <w:r w:rsidR="00F33D0B" w:rsidRPr="00532506">
              <w:t xml:space="preserve"> indicated as a nominal in datapoint 19</w:t>
            </w:r>
            <w:r w:rsidR="000600DF" w:rsidRPr="00532506">
              <w:t>.</w:t>
            </w:r>
            <w:r w:rsidR="00975F5C" w:rsidRPr="00532506">
              <w:t xml:space="preserve"> This allow participant to be consistent with CESR approaches and Asset Management Prudential regulations such AIFMD for assessing leverage on funds with derivatives.</w:t>
            </w:r>
          </w:p>
          <w:p w14:paraId="02213E43" w14:textId="0A67A680" w:rsidR="000600DF" w:rsidRDefault="000600DF" w:rsidP="000600DF"/>
        </w:tc>
      </w:tr>
      <w:tr w:rsidR="000600DF" w14:paraId="1AECFD1F" w14:textId="77777777" w:rsidTr="00C67D50">
        <w:tc>
          <w:tcPr>
            <w:tcW w:w="5665" w:type="dxa"/>
          </w:tcPr>
          <w:p w14:paraId="497C7032" w14:textId="77777777" w:rsidR="000600DF" w:rsidRDefault="000600DF" w:rsidP="000600DF">
            <w:r w:rsidRPr="000576BC">
              <w:lastRenderedPageBreak/>
              <w:t>28_Market_exposure_amount_in_portfolio_currency_(B)</w:t>
            </w:r>
          </w:p>
        </w:tc>
        <w:tc>
          <w:tcPr>
            <w:tcW w:w="8283" w:type="dxa"/>
          </w:tcPr>
          <w:p w14:paraId="45E91C3C" w14:textId="4E2533D9" w:rsidR="000600DF" w:rsidRDefault="000600DF" w:rsidP="000600DF">
            <w:r>
              <w:t xml:space="preserve">The exposure amount in portfolio currency should be filled with the value, in portfolio currency, of the market exposure in quotation </w:t>
            </w:r>
            <w:r w:rsidRPr="00AA4382">
              <w:t xml:space="preserve">currency. </w:t>
            </w:r>
          </w:p>
        </w:tc>
      </w:tr>
    </w:tbl>
    <w:p w14:paraId="2EC9C64C" w14:textId="07FEE56A" w:rsidR="000600DF" w:rsidRDefault="000600DF" w:rsidP="000620E6"/>
    <w:p w14:paraId="58B3D106" w14:textId="3EF07CD5" w:rsidR="008A7698" w:rsidRDefault="00975F5C" w:rsidP="000620E6">
      <w:r w:rsidRPr="00975F5C">
        <w:rPr>
          <w:noProof/>
        </w:rPr>
        <w:drawing>
          <wp:inline distT="0" distB="0" distL="0" distR="0" wp14:anchorId="0340A491" wp14:editId="38429613">
            <wp:extent cx="8863330" cy="93789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3330" cy="937895"/>
                    </a:xfrm>
                    <a:prstGeom prst="rect">
                      <a:avLst/>
                    </a:prstGeom>
                    <a:noFill/>
                    <a:ln>
                      <a:noFill/>
                    </a:ln>
                  </pic:spPr>
                </pic:pic>
              </a:graphicData>
            </a:graphic>
          </wp:inline>
        </w:drawing>
      </w:r>
    </w:p>
    <w:p w14:paraId="72365E23" w14:textId="3965F22B" w:rsidR="008A7698" w:rsidRDefault="008A7698" w:rsidP="000620E6">
      <w:r>
        <w:t xml:space="preserve">For other type of Swap </w:t>
      </w:r>
      <w:r w:rsidR="00975F5C">
        <w:t>instrument,</w:t>
      </w:r>
      <w:r>
        <w:t xml:space="preserve"> we kindly recommend </w:t>
      </w:r>
      <w:r w:rsidR="00975F5C">
        <w:t>addressing</w:t>
      </w:r>
      <w:r>
        <w:t xml:space="preserve"> specialists that will be able to reconcile TPT modelling principles with insurance companies needs regarding S2 regulation.</w:t>
      </w:r>
    </w:p>
    <w:p w14:paraId="7498197F" w14:textId="0E23EAE3" w:rsidR="00F33D0B" w:rsidRDefault="008A7698" w:rsidP="00F33D0B">
      <w:pPr>
        <w:pStyle w:val="Heading1"/>
      </w:pPr>
      <w:r>
        <w:t xml:space="preserve"> </w:t>
      </w:r>
      <w:r w:rsidR="00F33D0B">
        <w:t xml:space="preserve">Additional </w:t>
      </w:r>
      <w:r w:rsidR="00A462FC">
        <w:t>guidelines</w:t>
      </w:r>
      <w:r w:rsidR="00F33D0B">
        <w:t xml:space="preserve"> on CDS Instruments</w:t>
      </w:r>
    </w:p>
    <w:tbl>
      <w:tblPr>
        <w:tblStyle w:val="TableGrid"/>
        <w:tblW w:w="0" w:type="auto"/>
        <w:tblLook w:val="04A0" w:firstRow="1" w:lastRow="0" w:firstColumn="1" w:lastColumn="0" w:noHBand="0" w:noVBand="1"/>
      </w:tblPr>
      <w:tblGrid>
        <w:gridCol w:w="5665"/>
        <w:gridCol w:w="8283"/>
      </w:tblGrid>
      <w:tr w:rsidR="00F33D0B" w14:paraId="4156BA62" w14:textId="77777777" w:rsidTr="0058638D">
        <w:tc>
          <w:tcPr>
            <w:tcW w:w="5665" w:type="dxa"/>
          </w:tcPr>
          <w:p w14:paraId="132EE61D" w14:textId="77777777" w:rsidR="00F33D0B" w:rsidRPr="00DA1F1A" w:rsidRDefault="00F33D0B" w:rsidP="0058638D">
            <w:pPr>
              <w:rPr>
                <w:b/>
                <w:bCs/>
              </w:rPr>
            </w:pPr>
            <w:r w:rsidRPr="00DA1F1A">
              <w:rPr>
                <w:b/>
                <w:bCs/>
              </w:rPr>
              <w:t>Data field</w:t>
            </w:r>
          </w:p>
        </w:tc>
        <w:tc>
          <w:tcPr>
            <w:tcW w:w="8283" w:type="dxa"/>
          </w:tcPr>
          <w:p w14:paraId="093E97EB" w14:textId="1C373C05" w:rsidR="00F33D0B" w:rsidRPr="00DA1F1A" w:rsidRDefault="00F33D0B" w:rsidP="0058638D">
            <w:pPr>
              <w:rPr>
                <w:b/>
                <w:bCs/>
              </w:rPr>
            </w:pPr>
            <w:r w:rsidRPr="00DA1F1A">
              <w:rPr>
                <w:b/>
                <w:bCs/>
              </w:rPr>
              <w:t xml:space="preserve">Additional </w:t>
            </w:r>
            <w:r w:rsidR="00A462FC">
              <w:rPr>
                <w:b/>
                <w:bCs/>
              </w:rPr>
              <w:t>guidelines</w:t>
            </w:r>
            <w:r>
              <w:rPr>
                <w:b/>
                <w:bCs/>
              </w:rPr>
              <w:t xml:space="preserve"> </w:t>
            </w:r>
          </w:p>
        </w:tc>
      </w:tr>
      <w:tr w:rsidR="00F33D0B" w14:paraId="4FCF82F1" w14:textId="77777777" w:rsidTr="0058638D">
        <w:tc>
          <w:tcPr>
            <w:tcW w:w="5665" w:type="dxa"/>
          </w:tcPr>
          <w:p w14:paraId="573721FC" w14:textId="77777777" w:rsidR="00F33D0B" w:rsidRPr="00DB73C1" w:rsidRDefault="00F33D0B" w:rsidP="0058638D">
            <w:r w:rsidRPr="00F33D0B">
              <w:t>19_Nominal_amount</w:t>
            </w:r>
          </w:p>
        </w:tc>
        <w:tc>
          <w:tcPr>
            <w:tcW w:w="8283" w:type="dxa"/>
          </w:tcPr>
          <w:p w14:paraId="791FB0D3" w14:textId="17FEF533" w:rsidR="00F33D0B" w:rsidRDefault="00514DBD" w:rsidP="0058638D">
            <w:r>
              <w:t>A CDS may be considered as series of put spreads (buying puts on a</w:t>
            </w:r>
            <w:r w:rsidR="00532506">
              <w:t>n</w:t>
            </w:r>
            <w:r>
              <w:t xml:space="preserve"> underlying corporate bond and selling puts on </w:t>
            </w:r>
            <w:r w:rsidR="00532506">
              <w:t>an</w:t>
            </w:r>
            <w:r>
              <w:t xml:space="preserve"> underlying credit risk free instruments).  </w:t>
            </w:r>
            <w:r w:rsidR="00F33D0B">
              <w:t>For consistency purposes</w:t>
            </w:r>
            <w:r>
              <w:t xml:space="preserve"> we would recommend </w:t>
            </w:r>
            <w:r w:rsidR="00532506">
              <w:t>indicating</w:t>
            </w:r>
            <w:r>
              <w:t xml:space="preserve"> negative figures for long instruments.</w:t>
            </w:r>
            <w:r w:rsidR="00F33D0B">
              <w:t xml:space="preserve"> </w:t>
            </w:r>
          </w:p>
        </w:tc>
      </w:tr>
    </w:tbl>
    <w:p w14:paraId="5D1EAFDF" w14:textId="258DA2F2" w:rsidR="00F33D0B" w:rsidRDefault="00F33D0B" w:rsidP="00F33D0B"/>
    <w:p w14:paraId="5E241226" w14:textId="28D91725" w:rsidR="003E099A" w:rsidRPr="003E099A" w:rsidRDefault="00A462FC" w:rsidP="003E099A">
      <w:pPr>
        <w:pStyle w:val="Heading1"/>
      </w:pPr>
      <w:r>
        <w:t>Additional guidelines on collateral</w:t>
      </w:r>
    </w:p>
    <w:tbl>
      <w:tblPr>
        <w:tblStyle w:val="TableGrid"/>
        <w:tblW w:w="0" w:type="auto"/>
        <w:tblLook w:val="04A0" w:firstRow="1" w:lastRow="0" w:firstColumn="1" w:lastColumn="0" w:noHBand="0" w:noVBand="1"/>
      </w:tblPr>
      <w:tblGrid>
        <w:gridCol w:w="5665"/>
        <w:gridCol w:w="8283"/>
      </w:tblGrid>
      <w:tr w:rsidR="003E099A" w14:paraId="46BB5907" w14:textId="77777777" w:rsidTr="00A94AB6">
        <w:tc>
          <w:tcPr>
            <w:tcW w:w="5665" w:type="dxa"/>
          </w:tcPr>
          <w:p w14:paraId="2B067BA1" w14:textId="77777777" w:rsidR="003E099A" w:rsidRPr="00DA1F1A" w:rsidRDefault="003E099A" w:rsidP="00A94AB6">
            <w:pPr>
              <w:rPr>
                <w:b/>
                <w:bCs/>
              </w:rPr>
            </w:pPr>
            <w:r w:rsidRPr="00DA1F1A">
              <w:rPr>
                <w:b/>
                <w:bCs/>
              </w:rPr>
              <w:t>Data field</w:t>
            </w:r>
          </w:p>
        </w:tc>
        <w:tc>
          <w:tcPr>
            <w:tcW w:w="8283" w:type="dxa"/>
          </w:tcPr>
          <w:p w14:paraId="32C18FEE" w14:textId="77777777" w:rsidR="003E099A" w:rsidRPr="00DA1F1A" w:rsidRDefault="003E099A" w:rsidP="00A94AB6">
            <w:pPr>
              <w:rPr>
                <w:b/>
                <w:bCs/>
              </w:rPr>
            </w:pPr>
            <w:r w:rsidRPr="00DA1F1A">
              <w:rPr>
                <w:b/>
                <w:bCs/>
              </w:rPr>
              <w:t xml:space="preserve">Additional </w:t>
            </w:r>
            <w:r>
              <w:rPr>
                <w:b/>
                <w:bCs/>
              </w:rPr>
              <w:t xml:space="preserve">guidelines </w:t>
            </w:r>
          </w:p>
        </w:tc>
      </w:tr>
      <w:tr w:rsidR="003E099A" w14:paraId="7EDF640A" w14:textId="77777777" w:rsidTr="00A94AB6">
        <w:tc>
          <w:tcPr>
            <w:tcW w:w="5665" w:type="dxa"/>
          </w:tcPr>
          <w:p w14:paraId="07E4D4CB" w14:textId="654CA375" w:rsidR="003E099A" w:rsidRDefault="003E099A" w:rsidP="00A94AB6">
            <w:r w:rsidRPr="003E099A">
              <w:t>138_Collateral_eligibility</w:t>
            </w:r>
          </w:p>
        </w:tc>
        <w:tc>
          <w:tcPr>
            <w:tcW w:w="8283" w:type="dxa"/>
          </w:tcPr>
          <w:p w14:paraId="64031E71" w14:textId="77777777" w:rsidR="003E099A" w:rsidRDefault="003E099A" w:rsidP="00A94AB6">
            <w:r>
              <w:t xml:space="preserve">Indicates if the asset manager has analysed the collateral to assess whether it is eligible or not to the simplified approach for SCR calculation (RD UE 2015/35 art 112) and which factor should be applied to estimate an adjusted value of the collateral. This approach is the only one applicable for doing the calculations at fund level. </w:t>
            </w:r>
          </w:p>
          <w:p w14:paraId="5574DA16" w14:textId="23F5C523" w:rsidR="003E099A" w:rsidRDefault="003E099A" w:rsidP="00A94AB6">
            <w:r>
              <w:t xml:space="preserve">Please refer to your counsel for more information on Solvency 2 regulation. </w:t>
            </w:r>
          </w:p>
        </w:tc>
      </w:tr>
      <w:tr w:rsidR="003E099A" w14:paraId="3ACF9B26" w14:textId="77777777" w:rsidTr="00A94AB6">
        <w:tc>
          <w:tcPr>
            <w:tcW w:w="5665" w:type="dxa"/>
          </w:tcPr>
          <w:p w14:paraId="3EC9305E" w14:textId="0F030590" w:rsidR="003E099A" w:rsidRDefault="003E099A" w:rsidP="00A94AB6">
            <w:r w:rsidRPr="003E099A">
              <w:t>139_Collateral_Market_valuation_in_portfolio_currency</w:t>
            </w:r>
          </w:p>
        </w:tc>
        <w:tc>
          <w:tcPr>
            <w:tcW w:w="8283" w:type="dxa"/>
          </w:tcPr>
          <w:p w14:paraId="14D141A2" w14:textId="6E164967" w:rsidR="003E099A" w:rsidRDefault="003E099A" w:rsidP="00A94AB6">
            <w:r>
              <w:t>Indicates the market value of the collateral in portfolio currency. This information will be used in the calculation of the SCR.</w:t>
            </w:r>
          </w:p>
        </w:tc>
      </w:tr>
    </w:tbl>
    <w:p w14:paraId="7AC57537" w14:textId="3386727A" w:rsidR="00A462FC" w:rsidRDefault="00A462FC" w:rsidP="00A462FC"/>
    <w:p w14:paraId="47E2838B" w14:textId="40091AF2" w:rsidR="003E099A" w:rsidRDefault="003E099A" w:rsidP="00A462FC">
      <w:r w:rsidRPr="003E099A">
        <w:rPr>
          <w:noProof/>
        </w:rPr>
        <w:lastRenderedPageBreak/>
        <w:drawing>
          <wp:inline distT="0" distB="0" distL="0" distR="0" wp14:anchorId="4BD943DD" wp14:editId="18E22F57">
            <wp:extent cx="8863330" cy="6667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3330" cy="666750"/>
                    </a:xfrm>
                    <a:prstGeom prst="rect">
                      <a:avLst/>
                    </a:prstGeom>
                    <a:noFill/>
                    <a:ln>
                      <a:noFill/>
                    </a:ln>
                  </pic:spPr>
                </pic:pic>
              </a:graphicData>
            </a:graphic>
          </wp:inline>
        </w:drawing>
      </w:r>
    </w:p>
    <w:p w14:paraId="5E244CA3" w14:textId="77777777" w:rsidR="003E099A" w:rsidRPr="00A462FC" w:rsidRDefault="003E099A" w:rsidP="00A462FC"/>
    <w:p w14:paraId="45B0EAF1" w14:textId="77777777" w:rsidR="00A462FC" w:rsidRDefault="00A462FC" w:rsidP="00F33D0B"/>
    <w:p w14:paraId="2ED75270" w14:textId="77777777" w:rsidR="00F33D0B" w:rsidRPr="00F33D0B" w:rsidRDefault="00F33D0B" w:rsidP="00F33D0B"/>
    <w:p w14:paraId="1696FBF8" w14:textId="0A170990" w:rsidR="000600DF" w:rsidRPr="00E64ADA" w:rsidRDefault="000600DF" w:rsidP="000620E6"/>
    <w:sectPr w:rsidR="000600DF" w:rsidRPr="00E64ADA" w:rsidSect="003E2C6C">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BEC9" w14:textId="77777777" w:rsidR="0038611D" w:rsidRDefault="0038611D" w:rsidP="00771349">
      <w:pPr>
        <w:spacing w:after="0" w:line="240" w:lineRule="auto"/>
      </w:pPr>
      <w:r>
        <w:separator/>
      </w:r>
    </w:p>
  </w:endnote>
  <w:endnote w:type="continuationSeparator" w:id="0">
    <w:p w14:paraId="0D66D37A" w14:textId="77777777" w:rsidR="0038611D" w:rsidRDefault="0038611D" w:rsidP="0077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61E4A" w14:textId="77777777" w:rsidR="00C23F0A" w:rsidRDefault="00C2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74E9" w14:textId="187985C3" w:rsidR="00CA3AF3" w:rsidRPr="006F5600" w:rsidRDefault="00CA3AF3">
    <w:pPr>
      <w:pStyle w:val="Footer"/>
      <w:rPr>
        <w:rFonts w:ascii="Arial" w:hAnsi="Arial" w:cs="Arial"/>
        <w:sz w:val="20"/>
        <w:szCs w:val="20"/>
      </w:rPr>
    </w:pPr>
    <w:r w:rsidRPr="006F5600">
      <w:rPr>
        <w:rFonts w:ascii="Arial" w:hAnsi="Arial" w:cs="Arial"/>
        <w:sz w:val="20"/>
        <w:szCs w:val="20"/>
      </w:rPr>
      <w:fldChar w:fldCharType="begin"/>
    </w:r>
    <w:r w:rsidRPr="006F5600">
      <w:rPr>
        <w:rFonts w:ascii="Arial" w:hAnsi="Arial" w:cs="Arial"/>
        <w:sz w:val="20"/>
        <w:szCs w:val="20"/>
      </w:rPr>
      <w:instrText xml:space="preserve"> FILENAME  \* Lower  \* MERGEFORMAT </w:instrText>
    </w:r>
    <w:r w:rsidRPr="006F5600">
      <w:rPr>
        <w:rFonts w:ascii="Arial" w:hAnsi="Arial" w:cs="Arial"/>
        <w:sz w:val="20"/>
        <w:szCs w:val="20"/>
      </w:rPr>
      <w:fldChar w:fldCharType="separate"/>
    </w:r>
    <w:r w:rsidR="00907600">
      <w:rPr>
        <w:rFonts w:ascii="Arial" w:hAnsi="Arial" w:cs="Arial"/>
        <w:noProof/>
        <w:sz w:val="20"/>
        <w:szCs w:val="20"/>
      </w:rPr>
      <w:t xml:space="preserve">20210325 additional </w:t>
    </w:r>
    <w:r w:rsidR="00A462FC">
      <w:rPr>
        <w:rFonts w:ascii="Arial" w:hAnsi="Arial" w:cs="Arial"/>
        <w:noProof/>
        <w:sz w:val="20"/>
        <w:szCs w:val="20"/>
      </w:rPr>
      <w:t>guidelines</w:t>
    </w:r>
    <w:r w:rsidR="00907600">
      <w:rPr>
        <w:rFonts w:ascii="Arial" w:hAnsi="Arial" w:cs="Arial"/>
        <w:noProof/>
        <w:sz w:val="20"/>
        <w:szCs w:val="20"/>
      </w:rPr>
      <w:t xml:space="preserve"> tpt v</w:t>
    </w:r>
    <w:r w:rsidR="00C23F0A">
      <w:rPr>
        <w:rFonts w:ascii="Arial" w:hAnsi="Arial" w:cs="Arial"/>
        <w:noProof/>
        <w:sz w:val="20"/>
        <w:szCs w:val="20"/>
      </w:rPr>
      <w:t>6</w:t>
    </w:r>
    <w:r w:rsidR="00907600">
      <w:rPr>
        <w:rFonts w:ascii="Arial" w:hAnsi="Arial" w:cs="Arial"/>
        <w:noProof/>
        <w:sz w:val="20"/>
        <w:szCs w:val="20"/>
      </w:rPr>
      <w:t>.docx</w:t>
    </w:r>
    <w:r w:rsidRPr="006F5600">
      <w:rPr>
        <w:rFonts w:ascii="Arial" w:hAnsi="Arial" w:cs="Arial"/>
        <w:sz w:val="20"/>
        <w:szCs w:val="20"/>
      </w:rPr>
      <w:fldChar w:fldCharType="end"/>
    </w:r>
    <w:r w:rsidRPr="006F5600">
      <w:rPr>
        <w:rFonts w:ascii="Arial" w:hAnsi="Arial" w:cs="Arial"/>
        <w:sz w:val="20"/>
        <w:szCs w:val="20"/>
      </w:rPr>
      <w:ptab w:relativeTo="margin" w:alignment="center" w:leader="none"/>
    </w:r>
    <w:r w:rsidRPr="006F5600">
      <w:rPr>
        <w:rFonts w:ascii="Arial" w:hAnsi="Arial" w:cs="Arial"/>
        <w:sz w:val="20"/>
        <w:szCs w:val="20"/>
      </w:rPr>
      <w:fldChar w:fldCharType="begin"/>
    </w:r>
    <w:r w:rsidRPr="006F5600">
      <w:rPr>
        <w:rFonts w:ascii="Arial" w:hAnsi="Arial" w:cs="Arial"/>
        <w:sz w:val="20"/>
        <w:szCs w:val="20"/>
      </w:rPr>
      <w:instrText xml:space="preserve"> PAGE  \* Arabic  \* MERGEFORMAT </w:instrText>
    </w:r>
    <w:r w:rsidRPr="006F5600">
      <w:rPr>
        <w:rFonts w:ascii="Arial" w:hAnsi="Arial" w:cs="Arial"/>
        <w:sz w:val="20"/>
        <w:szCs w:val="20"/>
      </w:rPr>
      <w:fldChar w:fldCharType="separate"/>
    </w:r>
    <w:r w:rsidRPr="006F5600">
      <w:rPr>
        <w:rFonts w:ascii="Arial" w:hAnsi="Arial" w:cs="Arial"/>
        <w:noProof/>
        <w:sz w:val="20"/>
        <w:szCs w:val="20"/>
      </w:rPr>
      <w:t>1</w:t>
    </w:r>
    <w:r w:rsidRPr="006F5600">
      <w:rPr>
        <w:rFonts w:ascii="Arial" w:hAnsi="Arial" w:cs="Arial"/>
        <w:sz w:val="20"/>
        <w:szCs w:val="20"/>
      </w:rPr>
      <w:fldChar w:fldCharType="end"/>
    </w:r>
    <w:r w:rsidRPr="006F5600">
      <w:rPr>
        <w:rFonts w:ascii="Arial" w:hAnsi="Arial" w:cs="Arial"/>
        <w:sz w:val="20"/>
        <w:szCs w:val="20"/>
      </w:rPr>
      <w:t xml:space="preserve"> / </w:t>
    </w:r>
    <w:r w:rsidRPr="006F5600">
      <w:rPr>
        <w:rFonts w:ascii="Arial" w:hAnsi="Arial" w:cs="Arial"/>
        <w:sz w:val="20"/>
        <w:szCs w:val="20"/>
      </w:rPr>
      <w:fldChar w:fldCharType="begin"/>
    </w:r>
    <w:r w:rsidRPr="006F5600">
      <w:rPr>
        <w:rFonts w:ascii="Arial" w:hAnsi="Arial" w:cs="Arial"/>
        <w:sz w:val="20"/>
        <w:szCs w:val="20"/>
      </w:rPr>
      <w:instrText xml:space="preserve"> NUMPAGES  \* Arabic  \* MERGEFORMAT </w:instrText>
    </w:r>
    <w:r w:rsidRPr="006F5600">
      <w:rPr>
        <w:rFonts w:ascii="Arial" w:hAnsi="Arial" w:cs="Arial"/>
        <w:sz w:val="20"/>
        <w:szCs w:val="20"/>
      </w:rPr>
      <w:fldChar w:fldCharType="separate"/>
    </w:r>
    <w:r w:rsidRPr="006F5600">
      <w:rPr>
        <w:rFonts w:ascii="Arial" w:hAnsi="Arial" w:cs="Arial"/>
        <w:noProof/>
        <w:sz w:val="20"/>
        <w:szCs w:val="20"/>
      </w:rPr>
      <w:t>5</w:t>
    </w:r>
    <w:r w:rsidRPr="006F5600">
      <w:rPr>
        <w:rFonts w:ascii="Arial" w:hAnsi="Arial" w:cs="Arial"/>
        <w:sz w:val="20"/>
        <w:szCs w:val="20"/>
      </w:rPr>
      <w:fldChar w:fldCharType="end"/>
    </w:r>
    <w:r w:rsidRPr="006F5600">
      <w:rPr>
        <w:rFonts w:ascii="Arial" w:hAnsi="Arial" w:cs="Arial"/>
        <w:sz w:val="20"/>
        <w:szCs w:val="20"/>
      </w:rPr>
      <w:ptab w:relativeTo="margin" w:alignment="right" w:leader="none"/>
    </w:r>
    <w:r w:rsidRPr="006F5600">
      <w:rPr>
        <w:rFonts w:ascii="Arial" w:hAnsi="Arial" w:cs="Arial"/>
        <w:sz w:val="20"/>
        <w:szCs w:val="20"/>
      </w:rPr>
      <w:fldChar w:fldCharType="begin"/>
    </w:r>
    <w:r w:rsidRPr="006F5600">
      <w:rPr>
        <w:rFonts w:ascii="Arial" w:hAnsi="Arial" w:cs="Arial"/>
        <w:sz w:val="20"/>
        <w:szCs w:val="20"/>
      </w:rPr>
      <w:instrText xml:space="preserve"> SAVEDATE  \@ "dd/MM/yyyy"  \* MERGEFORMAT </w:instrText>
    </w:r>
    <w:r w:rsidRPr="006F5600">
      <w:rPr>
        <w:rFonts w:ascii="Arial" w:hAnsi="Arial" w:cs="Arial"/>
        <w:sz w:val="20"/>
        <w:szCs w:val="20"/>
      </w:rPr>
      <w:fldChar w:fldCharType="separate"/>
    </w:r>
    <w:r w:rsidR="00E054C0">
      <w:rPr>
        <w:rFonts w:ascii="Arial" w:hAnsi="Arial" w:cs="Arial"/>
        <w:noProof/>
        <w:sz w:val="20"/>
        <w:szCs w:val="20"/>
      </w:rPr>
      <w:t>10/01/2022</w:t>
    </w:r>
    <w:r w:rsidRPr="006F560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1FDF" w14:textId="77777777" w:rsidR="00C23F0A" w:rsidRDefault="00C2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5DD4" w14:textId="77777777" w:rsidR="0038611D" w:rsidRDefault="0038611D" w:rsidP="00771349">
      <w:pPr>
        <w:spacing w:after="0" w:line="240" w:lineRule="auto"/>
      </w:pPr>
      <w:r>
        <w:separator/>
      </w:r>
    </w:p>
  </w:footnote>
  <w:footnote w:type="continuationSeparator" w:id="0">
    <w:p w14:paraId="3FF475DC" w14:textId="77777777" w:rsidR="0038611D" w:rsidRDefault="0038611D" w:rsidP="0077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03B6" w14:textId="77777777" w:rsidR="00C23F0A" w:rsidRDefault="00C23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EFE5" w14:textId="73F991C2" w:rsidR="00CA3AF3" w:rsidRDefault="00CA3AF3">
    <w:pPr>
      <w:pStyle w:val="Header"/>
    </w:pPr>
    <w:r>
      <w:rPr>
        <w:noProof/>
        <w:lang w:val="de-DE" w:eastAsia="de-DE"/>
      </w:rPr>
      <w:drawing>
        <wp:anchor distT="0" distB="0" distL="114300" distR="114300" simplePos="0" relativeHeight="251659264" behindDoc="0" locked="0" layoutInCell="1" allowOverlap="1" wp14:anchorId="0827F34D" wp14:editId="27ACA649">
          <wp:simplePos x="0" y="0"/>
          <wp:positionH relativeFrom="column">
            <wp:posOffset>-57150</wp:posOffset>
          </wp:positionH>
          <wp:positionV relativeFrom="paragraph">
            <wp:posOffset>-77470</wp:posOffset>
          </wp:positionV>
          <wp:extent cx="2214245" cy="568325"/>
          <wp:effectExtent l="0" t="0" r="0" b="317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245" cy="568325"/>
                  </a:xfrm>
                  <a:prstGeom prst="rect">
                    <a:avLst/>
                  </a:prstGeom>
                  <a:noFill/>
                  <a:ln>
                    <a:noFill/>
                  </a:ln>
                </pic:spPr>
              </pic:pic>
            </a:graphicData>
          </a:graphic>
        </wp:anchor>
      </w:drawing>
    </w:r>
  </w:p>
  <w:p w14:paraId="1C14565F" w14:textId="4859BFAE" w:rsidR="00CA3AF3" w:rsidRDefault="00CA3AF3">
    <w:pPr>
      <w:pStyle w:val="Header"/>
    </w:pPr>
  </w:p>
  <w:p w14:paraId="361B47F5" w14:textId="3E1B0876" w:rsidR="00CA3AF3" w:rsidRDefault="00CA3AF3">
    <w:pPr>
      <w:pStyle w:val="Header"/>
    </w:pPr>
  </w:p>
  <w:p w14:paraId="170B37AC" w14:textId="77777777" w:rsidR="00CA3AF3" w:rsidRDefault="00CA3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FF31" w14:textId="77777777" w:rsidR="00C23F0A" w:rsidRDefault="00C23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71C"/>
    <w:multiLevelType w:val="hybridMultilevel"/>
    <w:tmpl w:val="BE1CBD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B806654"/>
    <w:multiLevelType w:val="hybridMultilevel"/>
    <w:tmpl w:val="75E8B444"/>
    <w:lvl w:ilvl="0" w:tplc="6C1A7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C64E3"/>
    <w:multiLevelType w:val="hybridMultilevel"/>
    <w:tmpl w:val="7D6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148"/>
    <w:multiLevelType w:val="hybridMultilevel"/>
    <w:tmpl w:val="0E1CA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415F8"/>
    <w:multiLevelType w:val="hybridMultilevel"/>
    <w:tmpl w:val="0DAA8690"/>
    <w:lvl w:ilvl="0" w:tplc="55AC1A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75180"/>
    <w:multiLevelType w:val="multilevel"/>
    <w:tmpl w:val="C9C8A1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A251AD0"/>
    <w:multiLevelType w:val="hybridMultilevel"/>
    <w:tmpl w:val="56F08E80"/>
    <w:lvl w:ilvl="0" w:tplc="FBFA2A2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64293E"/>
    <w:multiLevelType w:val="hybridMultilevel"/>
    <w:tmpl w:val="0D98F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53DC5"/>
    <w:multiLevelType w:val="multilevel"/>
    <w:tmpl w:val="F6D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96CE0"/>
    <w:multiLevelType w:val="hybridMultilevel"/>
    <w:tmpl w:val="754A2172"/>
    <w:lvl w:ilvl="0" w:tplc="24E23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752FC"/>
    <w:multiLevelType w:val="hybridMultilevel"/>
    <w:tmpl w:val="C4CC8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0D78E2"/>
    <w:multiLevelType w:val="hybridMultilevel"/>
    <w:tmpl w:val="1B26D21C"/>
    <w:lvl w:ilvl="0" w:tplc="C1CC57A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4C333C6"/>
    <w:multiLevelType w:val="hybridMultilevel"/>
    <w:tmpl w:val="D58AA41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48798D"/>
    <w:multiLevelType w:val="hybridMultilevel"/>
    <w:tmpl w:val="AF26C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40C25"/>
    <w:multiLevelType w:val="hybridMultilevel"/>
    <w:tmpl w:val="555C43DC"/>
    <w:lvl w:ilvl="0" w:tplc="3E5467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677D0"/>
    <w:multiLevelType w:val="hybridMultilevel"/>
    <w:tmpl w:val="0BE0DB3C"/>
    <w:lvl w:ilvl="0" w:tplc="F1D65B4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106D6"/>
    <w:multiLevelType w:val="hybridMultilevel"/>
    <w:tmpl w:val="B9EC3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7E742A"/>
    <w:multiLevelType w:val="hybridMultilevel"/>
    <w:tmpl w:val="162E26DE"/>
    <w:lvl w:ilvl="0" w:tplc="4F004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6440B"/>
    <w:multiLevelType w:val="multilevel"/>
    <w:tmpl w:val="48ECDF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7ECF13E2"/>
    <w:multiLevelType w:val="hybridMultilevel"/>
    <w:tmpl w:val="D69A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8"/>
  </w:num>
  <w:num w:numId="4">
    <w:abstractNumId w:val="0"/>
  </w:num>
  <w:num w:numId="5">
    <w:abstractNumId w:val="13"/>
  </w:num>
  <w:num w:numId="6">
    <w:abstractNumId w:val="11"/>
  </w:num>
  <w:num w:numId="7">
    <w:abstractNumId w:val="8"/>
  </w:num>
  <w:num w:numId="8">
    <w:abstractNumId w:val="6"/>
  </w:num>
  <w:num w:numId="9">
    <w:abstractNumId w:val="12"/>
  </w:num>
  <w:num w:numId="10">
    <w:abstractNumId w:val="1"/>
  </w:num>
  <w:num w:numId="11">
    <w:abstractNumId w:val="4"/>
  </w:num>
  <w:num w:numId="12">
    <w:abstractNumId w:val="9"/>
  </w:num>
  <w:num w:numId="13">
    <w:abstractNumId w:val="17"/>
  </w:num>
  <w:num w:numId="14">
    <w:abstractNumId w:val="7"/>
  </w:num>
  <w:num w:numId="15">
    <w:abstractNumId w:val="3"/>
  </w:num>
  <w:num w:numId="16">
    <w:abstractNumId w:val="14"/>
  </w:num>
  <w:num w:numId="17">
    <w:abstractNumId w:val="15"/>
  </w:num>
  <w:num w:numId="18">
    <w:abstractNumId w:val="1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61"/>
    <w:rsid w:val="00003F13"/>
    <w:rsid w:val="00006B38"/>
    <w:rsid w:val="00010961"/>
    <w:rsid w:val="00011AF1"/>
    <w:rsid w:val="00027D51"/>
    <w:rsid w:val="00047BCD"/>
    <w:rsid w:val="000576BC"/>
    <w:rsid w:val="000600DF"/>
    <w:rsid w:val="000620E6"/>
    <w:rsid w:val="000626C2"/>
    <w:rsid w:val="00064FAA"/>
    <w:rsid w:val="00071223"/>
    <w:rsid w:val="000B2C54"/>
    <w:rsid w:val="000B4D17"/>
    <w:rsid w:val="000D4FF5"/>
    <w:rsid w:val="000D64FB"/>
    <w:rsid w:val="00114487"/>
    <w:rsid w:val="00120DBC"/>
    <w:rsid w:val="001268A7"/>
    <w:rsid w:val="001319CF"/>
    <w:rsid w:val="00145311"/>
    <w:rsid w:val="00170508"/>
    <w:rsid w:val="001751D2"/>
    <w:rsid w:val="001A02CD"/>
    <w:rsid w:val="001A4A10"/>
    <w:rsid w:val="001B7E87"/>
    <w:rsid w:val="001C5025"/>
    <w:rsid w:val="001E05C0"/>
    <w:rsid w:val="0020034D"/>
    <w:rsid w:val="00214CDA"/>
    <w:rsid w:val="002166B8"/>
    <w:rsid w:val="00290B5B"/>
    <w:rsid w:val="002928F9"/>
    <w:rsid w:val="002A33AB"/>
    <w:rsid w:val="002C62D4"/>
    <w:rsid w:val="002D53F4"/>
    <w:rsid w:val="002F6C35"/>
    <w:rsid w:val="00324BF9"/>
    <w:rsid w:val="003319D2"/>
    <w:rsid w:val="00332ECC"/>
    <w:rsid w:val="003470E2"/>
    <w:rsid w:val="00383E4A"/>
    <w:rsid w:val="0038611D"/>
    <w:rsid w:val="003A0E95"/>
    <w:rsid w:val="003B7272"/>
    <w:rsid w:val="003D16C7"/>
    <w:rsid w:val="003D538D"/>
    <w:rsid w:val="003E099A"/>
    <w:rsid w:val="003E2C6C"/>
    <w:rsid w:val="003E3FB8"/>
    <w:rsid w:val="003E45D9"/>
    <w:rsid w:val="003F5A92"/>
    <w:rsid w:val="00403E74"/>
    <w:rsid w:val="00410871"/>
    <w:rsid w:val="004133EF"/>
    <w:rsid w:val="00426332"/>
    <w:rsid w:val="004319AC"/>
    <w:rsid w:val="00435FFA"/>
    <w:rsid w:val="00446FF5"/>
    <w:rsid w:val="004624F2"/>
    <w:rsid w:val="00462704"/>
    <w:rsid w:val="00464230"/>
    <w:rsid w:val="004770C6"/>
    <w:rsid w:val="00497C61"/>
    <w:rsid w:val="004A097D"/>
    <w:rsid w:val="004A745E"/>
    <w:rsid w:val="004F519D"/>
    <w:rsid w:val="00502A07"/>
    <w:rsid w:val="00512D67"/>
    <w:rsid w:val="00514DBD"/>
    <w:rsid w:val="00532506"/>
    <w:rsid w:val="00536765"/>
    <w:rsid w:val="00560396"/>
    <w:rsid w:val="0058623C"/>
    <w:rsid w:val="00590DC8"/>
    <w:rsid w:val="00596AB5"/>
    <w:rsid w:val="005E5171"/>
    <w:rsid w:val="0062509F"/>
    <w:rsid w:val="00631F92"/>
    <w:rsid w:val="00632BF4"/>
    <w:rsid w:val="006874A8"/>
    <w:rsid w:val="006921AC"/>
    <w:rsid w:val="006A5039"/>
    <w:rsid w:val="006C48AB"/>
    <w:rsid w:val="006D7D8D"/>
    <w:rsid w:val="006E6B0C"/>
    <w:rsid w:val="006E7780"/>
    <w:rsid w:val="006F0C41"/>
    <w:rsid w:val="006F5600"/>
    <w:rsid w:val="007205A7"/>
    <w:rsid w:val="00755AD6"/>
    <w:rsid w:val="00765EC3"/>
    <w:rsid w:val="00771349"/>
    <w:rsid w:val="00780992"/>
    <w:rsid w:val="007822DA"/>
    <w:rsid w:val="007B764D"/>
    <w:rsid w:val="007B7C55"/>
    <w:rsid w:val="007F44E1"/>
    <w:rsid w:val="00837401"/>
    <w:rsid w:val="008562A8"/>
    <w:rsid w:val="00864DA3"/>
    <w:rsid w:val="00894627"/>
    <w:rsid w:val="008A7698"/>
    <w:rsid w:val="008B0963"/>
    <w:rsid w:val="008B6CC4"/>
    <w:rsid w:val="008C242C"/>
    <w:rsid w:val="008D32A6"/>
    <w:rsid w:val="009047B0"/>
    <w:rsid w:val="00907600"/>
    <w:rsid w:val="00920D36"/>
    <w:rsid w:val="009260A5"/>
    <w:rsid w:val="00954FB0"/>
    <w:rsid w:val="00975F5C"/>
    <w:rsid w:val="00981668"/>
    <w:rsid w:val="00983377"/>
    <w:rsid w:val="009A4C42"/>
    <w:rsid w:val="00A02F72"/>
    <w:rsid w:val="00A03079"/>
    <w:rsid w:val="00A043C3"/>
    <w:rsid w:val="00A05C8E"/>
    <w:rsid w:val="00A20659"/>
    <w:rsid w:val="00A462FC"/>
    <w:rsid w:val="00A671B8"/>
    <w:rsid w:val="00A71D9E"/>
    <w:rsid w:val="00A8075C"/>
    <w:rsid w:val="00AA4382"/>
    <w:rsid w:val="00AA788A"/>
    <w:rsid w:val="00AE775C"/>
    <w:rsid w:val="00B11D7C"/>
    <w:rsid w:val="00B66DE2"/>
    <w:rsid w:val="00B8561A"/>
    <w:rsid w:val="00B86961"/>
    <w:rsid w:val="00BA5A97"/>
    <w:rsid w:val="00BB03A3"/>
    <w:rsid w:val="00BB4A67"/>
    <w:rsid w:val="00BE4B68"/>
    <w:rsid w:val="00BF15E4"/>
    <w:rsid w:val="00C23F0A"/>
    <w:rsid w:val="00C26225"/>
    <w:rsid w:val="00C2761A"/>
    <w:rsid w:val="00C3360E"/>
    <w:rsid w:val="00C43B8C"/>
    <w:rsid w:val="00C44690"/>
    <w:rsid w:val="00C720A0"/>
    <w:rsid w:val="00C86CC7"/>
    <w:rsid w:val="00C9355A"/>
    <w:rsid w:val="00CA3AF3"/>
    <w:rsid w:val="00CB01D1"/>
    <w:rsid w:val="00CC0097"/>
    <w:rsid w:val="00CC4210"/>
    <w:rsid w:val="00CC596E"/>
    <w:rsid w:val="00CD7C4A"/>
    <w:rsid w:val="00CE44BD"/>
    <w:rsid w:val="00CF6ADC"/>
    <w:rsid w:val="00D14328"/>
    <w:rsid w:val="00D208F7"/>
    <w:rsid w:val="00D53A59"/>
    <w:rsid w:val="00D547D2"/>
    <w:rsid w:val="00D554AF"/>
    <w:rsid w:val="00D66C30"/>
    <w:rsid w:val="00D72544"/>
    <w:rsid w:val="00DA1F1A"/>
    <w:rsid w:val="00DB73C1"/>
    <w:rsid w:val="00DD21AF"/>
    <w:rsid w:val="00E054C0"/>
    <w:rsid w:val="00E17533"/>
    <w:rsid w:val="00E275D3"/>
    <w:rsid w:val="00E3319A"/>
    <w:rsid w:val="00E34A2B"/>
    <w:rsid w:val="00E4085F"/>
    <w:rsid w:val="00E42F1D"/>
    <w:rsid w:val="00E43DB4"/>
    <w:rsid w:val="00E57DAE"/>
    <w:rsid w:val="00E6474D"/>
    <w:rsid w:val="00E64ADA"/>
    <w:rsid w:val="00E75312"/>
    <w:rsid w:val="00E827BF"/>
    <w:rsid w:val="00EA32A5"/>
    <w:rsid w:val="00EA5E44"/>
    <w:rsid w:val="00EB7667"/>
    <w:rsid w:val="00ED460A"/>
    <w:rsid w:val="00F33D0B"/>
    <w:rsid w:val="00F33EB6"/>
    <w:rsid w:val="00FA3033"/>
    <w:rsid w:val="00FC5506"/>
    <w:rsid w:val="00FD22B5"/>
    <w:rsid w:val="00FE4BC6"/>
    <w:rsid w:val="00FE6DD4"/>
    <w:rsid w:val="00FF7C8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417B7"/>
  <w15:docId w15:val="{A5278F09-2379-49B2-899D-581787A7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0DF"/>
  </w:style>
  <w:style w:type="paragraph" w:styleId="Heading1">
    <w:name w:val="heading 1"/>
    <w:basedOn w:val="Normal"/>
    <w:next w:val="Normal"/>
    <w:link w:val="Heading1Char"/>
    <w:uiPriority w:val="9"/>
    <w:qFormat/>
    <w:rsid w:val="00D554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2D67"/>
    <w:rPr>
      <w:color w:val="0000FF" w:themeColor="hyperlink"/>
      <w:u w:val="single"/>
    </w:rPr>
  </w:style>
  <w:style w:type="character" w:customStyle="1" w:styleId="Mentionnonrsolue1">
    <w:name w:val="Mention non résolue1"/>
    <w:basedOn w:val="DefaultParagraphFont"/>
    <w:uiPriority w:val="99"/>
    <w:semiHidden/>
    <w:unhideWhenUsed/>
    <w:rsid w:val="00512D67"/>
    <w:rPr>
      <w:color w:val="605E5C"/>
      <w:shd w:val="clear" w:color="auto" w:fill="E1DFDD"/>
    </w:rPr>
  </w:style>
  <w:style w:type="paragraph" w:styleId="ListParagraph">
    <w:name w:val="List Paragraph"/>
    <w:basedOn w:val="Normal"/>
    <w:uiPriority w:val="34"/>
    <w:qFormat/>
    <w:rsid w:val="00512D67"/>
    <w:pPr>
      <w:ind w:left="720"/>
      <w:contextualSpacing/>
    </w:pPr>
  </w:style>
  <w:style w:type="paragraph" w:styleId="Header">
    <w:name w:val="header"/>
    <w:basedOn w:val="Normal"/>
    <w:link w:val="HeaderChar"/>
    <w:uiPriority w:val="99"/>
    <w:unhideWhenUsed/>
    <w:rsid w:val="00771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349"/>
  </w:style>
  <w:style w:type="paragraph" w:styleId="Footer">
    <w:name w:val="footer"/>
    <w:basedOn w:val="Normal"/>
    <w:link w:val="FooterChar"/>
    <w:uiPriority w:val="99"/>
    <w:unhideWhenUsed/>
    <w:rsid w:val="00771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349"/>
  </w:style>
  <w:style w:type="character" w:styleId="IntenseReference">
    <w:name w:val="Intense Reference"/>
    <w:basedOn w:val="DefaultParagraphFont"/>
    <w:uiPriority w:val="32"/>
    <w:qFormat/>
    <w:rsid w:val="00E17533"/>
    <w:rPr>
      <w:b/>
      <w:bCs/>
      <w:smallCaps/>
      <w:color w:val="C0504D" w:themeColor="accent2"/>
      <w:spacing w:val="5"/>
      <w:u w:val="single"/>
    </w:rPr>
  </w:style>
  <w:style w:type="character" w:customStyle="1" w:styleId="Heading1Char">
    <w:name w:val="Heading 1 Char"/>
    <w:basedOn w:val="DefaultParagraphFont"/>
    <w:link w:val="Heading1"/>
    <w:uiPriority w:val="9"/>
    <w:rsid w:val="00D554A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43B8C"/>
    <w:rPr>
      <w:color w:val="605E5C"/>
      <w:shd w:val="clear" w:color="auto" w:fill="E1DFDD"/>
    </w:rPr>
  </w:style>
  <w:style w:type="paragraph" w:styleId="BalloonText">
    <w:name w:val="Balloon Text"/>
    <w:basedOn w:val="Normal"/>
    <w:link w:val="BalloonTextChar"/>
    <w:uiPriority w:val="99"/>
    <w:semiHidden/>
    <w:unhideWhenUsed/>
    <w:rsid w:val="001C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025"/>
    <w:rPr>
      <w:rFonts w:ascii="Segoe UI" w:hAnsi="Segoe UI" w:cs="Segoe UI"/>
      <w:sz w:val="18"/>
      <w:szCs w:val="18"/>
    </w:rPr>
  </w:style>
  <w:style w:type="character" w:styleId="CommentReference">
    <w:name w:val="annotation reference"/>
    <w:basedOn w:val="DefaultParagraphFont"/>
    <w:uiPriority w:val="99"/>
    <w:semiHidden/>
    <w:unhideWhenUsed/>
    <w:rsid w:val="00D66C30"/>
    <w:rPr>
      <w:sz w:val="16"/>
      <w:szCs w:val="16"/>
    </w:rPr>
  </w:style>
  <w:style w:type="paragraph" w:styleId="CommentText">
    <w:name w:val="annotation text"/>
    <w:basedOn w:val="Normal"/>
    <w:link w:val="CommentTextChar"/>
    <w:uiPriority w:val="99"/>
    <w:semiHidden/>
    <w:unhideWhenUsed/>
    <w:rsid w:val="00D66C30"/>
    <w:pPr>
      <w:spacing w:after="0" w:line="240" w:lineRule="auto"/>
      <w:jc w:val="both"/>
    </w:pPr>
    <w:rPr>
      <w:rFonts w:ascii="Verdana" w:eastAsia="Times New Roman" w:hAnsi="Verdana" w:cs="Times New Roman"/>
      <w:sz w:val="20"/>
      <w:szCs w:val="20"/>
    </w:rPr>
  </w:style>
  <w:style w:type="character" w:customStyle="1" w:styleId="CommentTextChar">
    <w:name w:val="Comment Text Char"/>
    <w:basedOn w:val="DefaultParagraphFont"/>
    <w:link w:val="CommentText"/>
    <w:uiPriority w:val="99"/>
    <w:semiHidden/>
    <w:rsid w:val="00D66C30"/>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071223"/>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71223"/>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3780">
      <w:bodyDiv w:val="1"/>
      <w:marLeft w:val="0"/>
      <w:marRight w:val="0"/>
      <w:marTop w:val="0"/>
      <w:marBottom w:val="0"/>
      <w:divBdr>
        <w:top w:val="none" w:sz="0" w:space="0" w:color="auto"/>
        <w:left w:val="none" w:sz="0" w:space="0" w:color="auto"/>
        <w:bottom w:val="none" w:sz="0" w:space="0" w:color="auto"/>
        <w:right w:val="none" w:sz="0" w:space="0" w:color="auto"/>
      </w:divBdr>
    </w:div>
    <w:div w:id="160778095">
      <w:bodyDiv w:val="1"/>
      <w:marLeft w:val="0"/>
      <w:marRight w:val="0"/>
      <w:marTop w:val="0"/>
      <w:marBottom w:val="0"/>
      <w:divBdr>
        <w:top w:val="none" w:sz="0" w:space="0" w:color="auto"/>
        <w:left w:val="none" w:sz="0" w:space="0" w:color="auto"/>
        <w:bottom w:val="none" w:sz="0" w:space="0" w:color="auto"/>
        <w:right w:val="none" w:sz="0" w:space="0" w:color="auto"/>
      </w:divBdr>
    </w:div>
    <w:div w:id="259069811">
      <w:bodyDiv w:val="1"/>
      <w:marLeft w:val="0"/>
      <w:marRight w:val="0"/>
      <w:marTop w:val="0"/>
      <w:marBottom w:val="0"/>
      <w:divBdr>
        <w:top w:val="none" w:sz="0" w:space="0" w:color="auto"/>
        <w:left w:val="none" w:sz="0" w:space="0" w:color="auto"/>
        <w:bottom w:val="none" w:sz="0" w:space="0" w:color="auto"/>
        <w:right w:val="none" w:sz="0" w:space="0" w:color="auto"/>
      </w:divBdr>
    </w:div>
    <w:div w:id="354037571">
      <w:bodyDiv w:val="1"/>
      <w:marLeft w:val="0"/>
      <w:marRight w:val="0"/>
      <w:marTop w:val="0"/>
      <w:marBottom w:val="0"/>
      <w:divBdr>
        <w:top w:val="none" w:sz="0" w:space="0" w:color="auto"/>
        <w:left w:val="none" w:sz="0" w:space="0" w:color="auto"/>
        <w:bottom w:val="none" w:sz="0" w:space="0" w:color="auto"/>
        <w:right w:val="none" w:sz="0" w:space="0" w:color="auto"/>
      </w:divBdr>
    </w:div>
    <w:div w:id="405109686">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611476455">
      <w:bodyDiv w:val="1"/>
      <w:marLeft w:val="0"/>
      <w:marRight w:val="0"/>
      <w:marTop w:val="0"/>
      <w:marBottom w:val="0"/>
      <w:divBdr>
        <w:top w:val="none" w:sz="0" w:space="0" w:color="auto"/>
        <w:left w:val="none" w:sz="0" w:space="0" w:color="auto"/>
        <w:bottom w:val="none" w:sz="0" w:space="0" w:color="auto"/>
        <w:right w:val="none" w:sz="0" w:space="0" w:color="auto"/>
      </w:divBdr>
    </w:div>
    <w:div w:id="617685193">
      <w:bodyDiv w:val="1"/>
      <w:marLeft w:val="0"/>
      <w:marRight w:val="0"/>
      <w:marTop w:val="0"/>
      <w:marBottom w:val="0"/>
      <w:divBdr>
        <w:top w:val="none" w:sz="0" w:space="0" w:color="auto"/>
        <w:left w:val="none" w:sz="0" w:space="0" w:color="auto"/>
        <w:bottom w:val="none" w:sz="0" w:space="0" w:color="auto"/>
        <w:right w:val="none" w:sz="0" w:space="0" w:color="auto"/>
      </w:divBdr>
    </w:div>
    <w:div w:id="621692096">
      <w:bodyDiv w:val="1"/>
      <w:marLeft w:val="0"/>
      <w:marRight w:val="0"/>
      <w:marTop w:val="0"/>
      <w:marBottom w:val="0"/>
      <w:divBdr>
        <w:top w:val="none" w:sz="0" w:space="0" w:color="auto"/>
        <w:left w:val="none" w:sz="0" w:space="0" w:color="auto"/>
        <w:bottom w:val="none" w:sz="0" w:space="0" w:color="auto"/>
        <w:right w:val="none" w:sz="0" w:space="0" w:color="auto"/>
      </w:divBdr>
    </w:div>
    <w:div w:id="1161000463">
      <w:bodyDiv w:val="1"/>
      <w:marLeft w:val="0"/>
      <w:marRight w:val="0"/>
      <w:marTop w:val="0"/>
      <w:marBottom w:val="0"/>
      <w:divBdr>
        <w:top w:val="none" w:sz="0" w:space="0" w:color="auto"/>
        <w:left w:val="none" w:sz="0" w:space="0" w:color="auto"/>
        <w:bottom w:val="none" w:sz="0" w:space="0" w:color="auto"/>
        <w:right w:val="none" w:sz="0" w:space="0" w:color="auto"/>
      </w:divBdr>
    </w:div>
    <w:div w:id="1211259234">
      <w:bodyDiv w:val="1"/>
      <w:marLeft w:val="0"/>
      <w:marRight w:val="0"/>
      <w:marTop w:val="0"/>
      <w:marBottom w:val="0"/>
      <w:divBdr>
        <w:top w:val="none" w:sz="0" w:space="0" w:color="auto"/>
        <w:left w:val="none" w:sz="0" w:space="0" w:color="auto"/>
        <w:bottom w:val="none" w:sz="0" w:space="0" w:color="auto"/>
        <w:right w:val="none" w:sz="0" w:space="0" w:color="auto"/>
      </w:divBdr>
    </w:div>
    <w:div w:id="1507357259">
      <w:bodyDiv w:val="1"/>
      <w:marLeft w:val="0"/>
      <w:marRight w:val="0"/>
      <w:marTop w:val="0"/>
      <w:marBottom w:val="0"/>
      <w:divBdr>
        <w:top w:val="none" w:sz="0" w:space="0" w:color="auto"/>
        <w:left w:val="none" w:sz="0" w:space="0" w:color="auto"/>
        <w:bottom w:val="none" w:sz="0" w:space="0" w:color="auto"/>
        <w:right w:val="none" w:sz="0" w:space="0" w:color="auto"/>
      </w:divBdr>
    </w:div>
    <w:div w:id="1557080516">
      <w:bodyDiv w:val="1"/>
      <w:marLeft w:val="0"/>
      <w:marRight w:val="0"/>
      <w:marTop w:val="0"/>
      <w:marBottom w:val="0"/>
      <w:divBdr>
        <w:top w:val="none" w:sz="0" w:space="0" w:color="auto"/>
        <w:left w:val="none" w:sz="0" w:space="0" w:color="auto"/>
        <w:bottom w:val="none" w:sz="0" w:space="0" w:color="auto"/>
        <w:right w:val="none" w:sz="0" w:space="0" w:color="auto"/>
      </w:divBdr>
    </w:div>
    <w:div w:id="1635214913">
      <w:bodyDiv w:val="1"/>
      <w:marLeft w:val="0"/>
      <w:marRight w:val="0"/>
      <w:marTop w:val="0"/>
      <w:marBottom w:val="0"/>
      <w:divBdr>
        <w:top w:val="none" w:sz="0" w:space="0" w:color="auto"/>
        <w:left w:val="none" w:sz="0" w:space="0" w:color="auto"/>
        <w:bottom w:val="none" w:sz="0" w:space="0" w:color="auto"/>
        <w:right w:val="none" w:sz="0" w:space="0" w:color="auto"/>
      </w:divBdr>
    </w:div>
    <w:div w:id="1811090648">
      <w:bodyDiv w:val="1"/>
      <w:marLeft w:val="0"/>
      <w:marRight w:val="0"/>
      <w:marTop w:val="0"/>
      <w:marBottom w:val="0"/>
      <w:divBdr>
        <w:top w:val="none" w:sz="0" w:space="0" w:color="auto"/>
        <w:left w:val="none" w:sz="0" w:space="0" w:color="auto"/>
        <w:bottom w:val="none" w:sz="0" w:space="0" w:color="auto"/>
        <w:right w:val="none" w:sz="0" w:space="0" w:color="auto"/>
      </w:divBdr>
    </w:div>
    <w:div w:id="200627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1A5DDC9B9E9448F376FF72064495B" ma:contentTypeVersion="26" ma:contentTypeDescription="Create a new document." ma:contentTypeScope="" ma:versionID="1b1a28daa96b9eb4739a76419a3c43b6">
  <xsd:schema xmlns:xsd="http://www.w3.org/2001/XMLSchema" xmlns:xs="http://www.w3.org/2001/XMLSchema" xmlns:p="http://schemas.microsoft.com/office/2006/metadata/properties" xmlns:ns2="9a04c21f-717e-4ea9-a621-055ea83e6204" xmlns:ns3="http://schemas.microsoft.com/sharepoint/v3/fields" xmlns:ns4="efa07f0a-2279-4397-9381-96c735bff43a" targetNamespace="http://schemas.microsoft.com/office/2006/metadata/properties" ma:root="true" ma:fieldsID="c3a9b2a087364acaadee4cca8bc14221" ns2:_="" ns3:_="" ns4:_="">
    <xsd:import namespace="9a04c21f-717e-4ea9-a621-055ea83e6204"/>
    <xsd:import namespace="http://schemas.microsoft.com/sharepoint/v3/fields"/>
    <xsd:import namespace="efa07f0a-2279-4397-9381-96c735bff43a"/>
    <xsd:element name="properties">
      <xsd:complexType>
        <xsd:sequence>
          <xsd:element name="documentManagement">
            <xsd:complexType>
              <xsd:all>
                <xsd:element ref="ns2:DocumentType" minOccurs="0"/>
                <xsd:element ref="ns2:Meeting_x0020_Date" minOccurs="0"/>
                <xsd:element ref="ns2:Endtime" minOccurs="0"/>
                <xsd:element ref="ns2:Starttime" minOccurs="0"/>
                <xsd:element ref="ns2:Reference" minOccurs="0"/>
                <xsd:element ref="ns3:_Source" minOccurs="0"/>
                <xsd:element ref="ns2:Type_x0020_of_x0020_memo" minOccurs="0"/>
                <xsd:element ref="ns2:Type_x0020_of_x0020_document" minOccurs="0"/>
                <xsd:element ref="ns2:MigrationSourceURL" minOccurs="0"/>
                <xsd:element ref="ns2:Year" minOccurs="0"/>
                <xsd:element ref="ns2:Deadline" minOccurs="0"/>
                <xsd:element ref="ns2:Document_x0020_type" minOccurs="0"/>
                <xsd:element ref="ns2:Tags" minOccurs="0"/>
                <xsd:element ref="ns2:MediaServiceMetadata" minOccurs="0"/>
                <xsd:element ref="ns2:MediaServiceFastMetadata" minOccurs="0"/>
                <xsd:element ref="ns4:Reference" minOccurs="0"/>
                <xsd:element ref="ns2:Document_x0020_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4c21f-717e-4ea9-a621-055ea83e6204" elementFormDefault="qualified">
    <xsd:import namespace="http://schemas.microsoft.com/office/2006/documentManagement/types"/>
    <xsd:import namespace="http://schemas.microsoft.com/office/infopath/2007/PartnerControls"/>
    <xsd:element name="DocumentType" ma:index="8" nillable="true" ma:displayName="Document Type" ma:default="Memo" ma:format="Dropdown" ma:internalName="DocumentType" ma:readOnly="false">
      <xsd:simpleType>
        <xsd:restriction base="dms:Choice">
          <xsd:enumeration value="Memo"/>
          <xsd:enumeration value="Memo for action"/>
        </xsd:restriction>
      </xsd:simpleType>
    </xsd:element>
    <xsd:element name="Meeting_x0020_Date" ma:index="9" nillable="true" ma:displayName="Meeting Date" ma:format="DateOnly" ma:internalName="Meeting_x0020_Date" ma:readOnly="false">
      <xsd:simpleType>
        <xsd:restriction base="dms:DateTime"/>
      </xsd:simpleType>
    </xsd:element>
    <xsd:element name="Endtime" ma:index="10" nillable="true" ma:displayName="Endtime" ma:internalName="Endtime" ma:readOnly="false">
      <xsd:simpleType>
        <xsd:restriction base="dms:Text">
          <xsd:maxLength value="255"/>
        </xsd:restriction>
      </xsd:simpleType>
    </xsd:element>
    <xsd:element name="Starttime" ma:index="11" nillable="true" ma:displayName="Starttime" ma:internalName="Starttime" ma:readOnly="false">
      <xsd:simpleType>
        <xsd:restriction base="dms:Text">
          <xsd:maxLength value="255"/>
        </xsd:restriction>
      </xsd:simpleType>
    </xsd:element>
    <xsd:element name="Reference" ma:index="12" nillable="true" ma:displayName="Reference" ma:internalName="Reference" ma:readOnly="false">
      <xsd:simpleType>
        <xsd:restriction base="dms:Text">
          <xsd:maxLength value="255"/>
        </xsd:restriction>
      </xsd:simpleType>
    </xsd:element>
    <xsd:element name="Type_x0020_of_x0020_memo" ma:index="14" nillable="true" ma:displayName="Type of memo" ma:format="Dropdown" ma:internalName="Type_x0020_of_x0020_memo" ma:readOnly="false">
      <xsd:simpleType>
        <xsd:restriction base="dms:Choice">
          <xsd:enumeration value="information"/>
          <xsd:enumeration value="action"/>
        </xsd:restriction>
      </xsd:simpleType>
    </xsd:element>
    <xsd:element name="Type_x0020_of_x0020_document" ma:index="15" nillable="true" ma:displayName="Type of document" ma:format="Dropdown" ma:internalName="Type_x0020_of_x0020_document" ma:readOnly="false">
      <xsd:simpleType>
        <xsd:restriction base="dms:Choice">
          <xsd:enumeration value="Memo"/>
          <xsd:enumeration value="Blank document"/>
          <xsd:enumeration value="Agenda"/>
          <xsd:enumeration value="News Flash"/>
          <xsd:enumeration value="Participants List"/>
          <xsd:enumeration value="Press Release"/>
          <xsd:enumeration value="Fax Cover"/>
          <xsd:enumeration value="Letter"/>
          <xsd:enumeration value="Background note"/>
          <xsd:enumeration value="Meeting Conclusions"/>
          <xsd:enumeration value="Position Paper"/>
          <xsd:enumeration value="PowerPoint template"/>
          <xsd:enumeration value="External document"/>
          <xsd:enumeration value="Briefing Note"/>
          <xsd:enumeration value="Working Document"/>
          <xsd:enumeration value="Presentation"/>
          <xsd:enumeration value="Action Points"/>
          <xsd:enumeration value="RAB Agenda"/>
          <xsd:enumeration value="RAB Letter"/>
          <xsd:enumeration value="RAB Letter with CEOs"/>
          <xsd:enumeration value="RAB Blank document"/>
          <xsd:enumeration value="RAB Background note"/>
          <xsd:enumeration value="RAB Meeting conclusions"/>
        </xsd:restriction>
      </xsd:simpleType>
    </xsd:element>
    <xsd:element name="MigrationSourceURL" ma:index="16" nillable="true" ma:displayName="MigrationSourceURL" ma:internalName="MigrationSourceURL" ma:readOnly="false">
      <xsd:simpleType>
        <xsd:restriction base="dms:Note">
          <xsd:maxLength value="255"/>
        </xsd:restriction>
      </xsd:simpleType>
    </xsd:element>
    <xsd:element name="Year" ma:index="17" nillable="true" ma:displayName="Year" ma:internalName="Year">
      <xsd:simpleType>
        <xsd:restriction base="dms:Text"/>
      </xsd:simpleType>
    </xsd:element>
    <xsd:element name="Deadline" ma:index="18" nillable="true" ma:displayName="Deadline" ma:internalName="Deadline">
      <xsd:simpleType>
        <xsd:restriction base="dms:DateTime"/>
      </xsd:simpleType>
    </xsd:element>
    <xsd:element name="Document_x0020_type" ma:index="19" nillable="true" ma:displayName="Document type" ma:internalName="Document_x0020_type">
      <xsd:simpleType>
        <xsd:restriction base="dms:Text"/>
      </xsd:simpleType>
    </xsd:element>
    <xsd:element name="Tags" ma:index="20" nillable="true" ma:displayName="Tags" ma:internalName="Tags">
      <xsd:complexType>
        <xsd:complexContent>
          <xsd:extension base="dms:MultiChoice">
            <xsd:sequence>
              <xsd:element name="Value" maxOccurs="unbounded" minOccurs="0" nillable="true">
                <xsd:simpleType>
                  <xsd:restriction base="dms:Choice">
                    <xsd:enumeration value="Covid-19"/>
                    <xsd:enumeration value="Dynamic Volatility Adjustment"/>
                    <xsd:enumeration value="Eb"/>
                    <xsd:enumeration value="Orsa"/>
                    <xsd:enumeration value="Solvency III"/>
                    <xsd:enumeration value="Vloed"/>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Document_x0020_Date" ma:index="24" nillable="true" ma:displayName="Document Date" ma:internalName="Document_x0020_Date" ma:readOnly="false">
      <xsd:simpleType>
        <xsd:restriction base="dms:Text">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3"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a07f0a-2279-4397-9381-96c735bff43a" elementFormDefault="qualified">
    <xsd:import namespace="http://schemas.microsoft.com/office/2006/documentManagement/types"/>
    <xsd:import namespace="http://schemas.microsoft.com/office/infopath/2007/PartnerControls"/>
    <xsd:element name="Reference" ma:index="23" nillable="true" ma:displayName="Reference" ma:internalName="Reference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Meeting_x0020_Date xmlns="9a04c21f-717e-4ea9-a621-055ea83e6204" xsi:nil="true"/>
    <Starttime xmlns="9a04c21f-717e-4ea9-a621-055ea83e6204" xsi:nil="true"/>
    <MigrationSourceURL xmlns="9a04c21f-717e-4ea9-a621-055ea83e6204" xsi:nil="true"/>
    <Endtime xmlns="9a04c21f-717e-4ea9-a621-055ea83e6204" xsi:nil="true"/>
    <Document_x0020_Date xmlns="9a04c21f-717e-4ea9-a621-055ea83e6204" xsi:nil="true"/>
    <Type_x0020_of_x0020_document xmlns="9a04c21f-717e-4ea9-a621-055ea83e6204" xsi:nil="true"/>
    <Type_x0020_of_x0020_memo xmlns="9a04c21f-717e-4ea9-a621-055ea83e6204" xsi:nil="true"/>
    <Reference xmlns="9a04c21f-717e-4ea9-a621-055ea83e6204" xsi:nil="true"/>
    <Document_x0020_type xmlns="9a04c21f-717e-4ea9-a621-055ea83e6204" xsi:nil="true"/>
    <Reference xmlns="efa07f0a-2279-4397-9381-96c735bff43a" xsi:nil="true"/>
    <Year xmlns="9a04c21f-717e-4ea9-a621-055ea83e6204" xsi:nil="true"/>
    <Tags xmlns="9a04c21f-717e-4ea9-a621-055ea83e6204" xsi:nil="true"/>
    <DocumentType xmlns="9a04c21f-717e-4ea9-a621-055ea83e6204">Memo</DocumentType>
    <Deadline xmlns="9a04c21f-717e-4ea9-a621-055ea83e62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EFED-A340-4812-BA8F-46DF3E61C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4c21f-717e-4ea9-a621-055ea83e6204"/>
    <ds:schemaRef ds:uri="http://schemas.microsoft.com/sharepoint/v3/fields"/>
    <ds:schemaRef ds:uri="efa07f0a-2279-4397-9381-96c735bf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C2CDF-0307-4D27-A0CB-59B684A8C67B}">
  <ds:schemaRefs>
    <ds:schemaRef ds:uri="http://schemas.microsoft.com/sharepoint/v3/contenttype/forms"/>
  </ds:schemaRefs>
</ds:datastoreItem>
</file>

<file path=customXml/itemProps3.xml><?xml version="1.0" encoding="utf-8"?>
<ds:datastoreItem xmlns:ds="http://schemas.openxmlformats.org/officeDocument/2006/customXml" ds:itemID="{E0AABE81-BA81-4A2B-9E8D-B9C9B23B55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a07f0a-2279-4397-9381-96c735bff43a"/>
    <ds:schemaRef ds:uri="9a04c21f-717e-4ea9-a621-055ea83e6204"/>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019FEBB-6D1C-488D-8CF8-3F66C3EF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1061</Words>
  <Characters>6048</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Ecofin</dc:creator>
  <cp:lastModifiedBy>Keil, Coralie (IDS GmbH)</cp:lastModifiedBy>
  <cp:revision>2</cp:revision>
  <dcterms:created xsi:type="dcterms:W3CDTF">2022-01-24T10:24:00Z</dcterms:created>
  <dcterms:modified xsi:type="dcterms:W3CDTF">2022-01-24T10:24:00Z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0x010100E301A5DDC9B9E9448F376FF72064495B</vt:lpwstr>
  </property>
  <property fmtid="{D5CDD505-2E9C-101B-9397-08002B2CF9AE}" pid="3" name="MSIP_Label_ce5f591a-3248-43e9-9b70-1ad50135772d_Enabled">
    <vt:lpwstr>true</vt:lpwstr>
  </property>
  <property fmtid="{D5CDD505-2E9C-101B-9397-08002B2CF9AE}" pid="4" name="MSIP_Label_ce5f591a-3248-43e9-9b70-1ad50135772d_SetDate">
    <vt:lpwstr>2022-01-24T10:23:58Z</vt:lpwstr>
  </property>
  <property fmtid="{D5CDD505-2E9C-101B-9397-08002B2CF9AE}" pid="5" name="MSIP_Label_ce5f591a-3248-43e9-9b70-1ad50135772d_Method">
    <vt:lpwstr>Privileged</vt:lpwstr>
  </property>
  <property fmtid="{D5CDD505-2E9C-101B-9397-08002B2CF9AE}" pid="6" name="MSIP_Label_ce5f591a-3248-43e9-9b70-1ad50135772d_Name">
    <vt:lpwstr>ce5f591a-3248-43e9-9b70-1ad50135772d</vt:lpwstr>
  </property>
  <property fmtid="{D5CDD505-2E9C-101B-9397-08002B2CF9AE}" pid="7" name="MSIP_Label_ce5f591a-3248-43e9-9b70-1ad50135772d_SiteId">
    <vt:lpwstr>6e06e42d-6925-47c6-b9e7-9581c7ca302a</vt:lpwstr>
  </property>
  <property fmtid="{D5CDD505-2E9C-101B-9397-08002B2CF9AE}" pid="8" name="MSIP_Label_ce5f591a-3248-43e9-9b70-1ad50135772d_ActionId">
    <vt:lpwstr>44951016-c4c3-43be-b2f7-ffa3fd641a8a</vt:lpwstr>
  </property>
  <property fmtid="{D5CDD505-2E9C-101B-9397-08002B2CF9AE}" pid="9" name="MSIP_Label_ce5f591a-3248-43e9-9b70-1ad50135772d_ContentBits">
    <vt:lpwstr>0</vt:lpwstr>
  </property>
</Properties>
</file>